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C11" w:rsidRDefault="00946C11" w:rsidP="00946C11">
      <w:pPr>
        <w:pStyle w:val="af7"/>
        <w:ind w:left="-851"/>
      </w:pPr>
      <w:r>
        <w:rPr>
          <w:noProof/>
        </w:rPr>
        <w:drawing>
          <wp:inline distT="0" distB="0" distL="0" distR="0" wp14:anchorId="6ABDB62C" wp14:editId="2E691166">
            <wp:extent cx="7107745" cy="10050780"/>
            <wp:effectExtent l="0" t="0" r="0" b="7620"/>
            <wp:docPr id="9" name="Рисунок 9" descr="C:\Users\Секретарь\Сканированные документы для отправки\отчет о самообслед титу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Сканированные документы для отправки\отчет о самообслед титуль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40" cy="100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79" w:rsidRDefault="00FF22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Общие сведения: </w:t>
      </w:r>
      <w:bookmarkStart w:id="0" w:name="_GoBack"/>
      <w:bookmarkEnd w:id="0"/>
    </w:p>
    <w:tbl>
      <w:tblPr>
        <w:tblStyle w:val="StGen0"/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60E79" w:rsidTr="00D95E45">
        <w:trPr>
          <w:trHeight w:val="1526"/>
        </w:trPr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 ДОУ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</w:t>
            </w:r>
          </w:p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«Детский сад № 120»</w:t>
            </w:r>
          </w:p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г.Перми</w:t>
            </w:r>
            <w:proofErr w:type="spellEnd"/>
          </w:p>
          <w:p w:rsidR="00B60E79" w:rsidRDefault="00B60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наименование ДОУ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МАДОУ «Детский сад № 120»</w:t>
            </w:r>
          </w:p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г.Перми</w:t>
            </w:r>
            <w:proofErr w:type="spellEnd"/>
          </w:p>
          <w:p w:rsidR="00B60E79" w:rsidRDefault="00B60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Общеобразовательная организация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Дошкольное образование (предшествующее начальному общему образованию)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Организационно-</w:t>
            </w:r>
          </w:p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правовой статус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Унитарная некоммерческая организация – муниципальное автономное учреждение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4786" w:type="dxa"/>
          </w:tcPr>
          <w:p w:rsidR="00B60E79" w:rsidRDefault="00FF223A" w:rsidP="00181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614097. </w:t>
            </w:r>
            <w:r w:rsidR="00181BF9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Пермь, ул. Строителей, 14; 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4786" w:type="dxa"/>
          </w:tcPr>
          <w:p w:rsidR="00B60E79" w:rsidRDefault="00FF223A" w:rsidP="00181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614097. </w:t>
            </w:r>
            <w:r w:rsidR="00181BF9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Пермь, ул. Строителей, 14; Маяковского, д. 35; Маяковского, </w:t>
            </w:r>
            <w:r w:rsidR="00181B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 46 б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Телефон/факс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606060"/>
                <w:sz w:val="28"/>
                <w:szCs w:val="28"/>
                <w:highlight w:val="white"/>
              </w:rPr>
              <w:t>(342) 207 00 44; 207 04 05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Сайт/e-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4786" w:type="dxa"/>
          </w:tcPr>
          <w:p w:rsidR="00B60E79" w:rsidRDefault="00FF223A">
            <w:pPr>
              <w:ind w:hanging="1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ds120@permedu.online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основания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1988 год.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 на образовательную деятельность, серия, номер, дата выдачи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59Л01, № 6745 от 12 марта 2020</w:t>
            </w:r>
          </w:p>
        </w:tc>
      </w:tr>
      <w:tr w:rsidR="00B60E79"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Верхоланцева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Марина Викторовна</w:t>
            </w:r>
          </w:p>
        </w:tc>
      </w:tr>
      <w:tr w:rsidR="00B60E79">
        <w:trPr>
          <w:trHeight w:val="1098"/>
        </w:trPr>
        <w:tc>
          <w:tcPr>
            <w:tcW w:w="4785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Ф.И.О.  заместителя руководителя </w:t>
            </w:r>
          </w:p>
        </w:tc>
        <w:tc>
          <w:tcPr>
            <w:tcW w:w="4786" w:type="dxa"/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Цветкова Марина Николаевна; </w:t>
            </w:r>
          </w:p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Моисеева Надежда Викторовна</w:t>
            </w:r>
          </w:p>
        </w:tc>
      </w:tr>
    </w:tbl>
    <w:p w:rsidR="00B60E79" w:rsidRDefault="00B60E79">
      <w:pPr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0E79" w:rsidRDefault="00FF223A" w:rsidP="00D95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120»</w:t>
      </w:r>
      <w:r w:rsidR="00181BF9">
        <w:rPr>
          <w:rFonts w:ascii="Times New Roman" w:eastAsia="Times New Roman" w:hAnsi="Times New Roman" w:cs="Times New Roman"/>
          <w:sz w:val="28"/>
          <w:szCs w:val="28"/>
        </w:rPr>
        <w:t xml:space="preserve"> г. Перми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Детский сад) расположено в Дзержинском районе города вдали от производящих предприятий. Здания (3 корпуса) детского сада построены по типовому проекту. </w:t>
      </w:r>
    </w:p>
    <w:p w:rsidR="00181BF9" w:rsidRDefault="00FF223A" w:rsidP="00D95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CC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B60E79" w:rsidRPr="00181BF9" w:rsidRDefault="00FF223A" w:rsidP="00D95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CC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Предметом деятельности является образовательная деятельность, направленная на достижение целей деятельности Учреждения. </w:t>
      </w:r>
    </w:p>
    <w:p w:rsidR="00B60E79" w:rsidRDefault="00FF223A" w:rsidP="00D95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Режим работы Детского сада: рабочая неделя – пятидневная, с понедельника по пятницу, выходные –суббота, воскресенье. Длительность пребывания детей в группах – 12 часов. Режим работы групп – с </w:t>
      </w:r>
      <w:r w:rsidR="00181BF9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7:00 до 19:00.</w:t>
      </w:r>
    </w:p>
    <w:p w:rsidR="00B60E79" w:rsidRDefault="00FF223A" w:rsidP="00D95E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B60E79" w:rsidRDefault="00FF223A" w:rsidP="00D95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Аналитическая часть</w:t>
      </w:r>
    </w:p>
    <w:p w:rsidR="00B60E79" w:rsidRPr="0062118D" w:rsidRDefault="00B60E79" w:rsidP="00D95E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B60E79" w:rsidRDefault="00FF223A" w:rsidP="0062118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I. Оценка образовательной деятельности</w:t>
      </w:r>
    </w:p>
    <w:p w:rsidR="00D674D3" w:rsidRDefault="00FF223A" w:rsidP="00D95E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№ 273-ФЗ</w:t>
      </w:r>
      <w:r w:rsidR="00181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образовании в Российской Федерации</w:t>
      </w:r>
      <w:r w:rsidR="00181BF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ФГОС дошкольного образования.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</w:t>
      </w:r>
      <w:r w:rsidR="00D95E45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разработана с учетом ФГОС дошкольного образования, особенностей образовательного учреждения, региона, образовательных потребностей и запросов воспитанников. Программа определяет цель, задачи, планируемые результаты, содержание и организацию образовательного процесса на уровне дошкольного образования. Программа разработана в соответствии с федеральным государственным образовательным стандартом дошкольного образования (утвержден приказом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 и федеральной образовательной программой дошкольного образования (утверждена приказом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 составлена в соответствии с </w:t>
      </w:r>
      <w:hyperlink r:id="rId8" w:anchor="/document/99/499057887/" w:tooltip="https://vip.1obraz.ru/#/document/99/499057887/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ФГОС дошкольного образования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с учетом примерной образовательной программы дошкольного образования, санитарно-эпидемиологическими правилами и нормативами.</w:t>
      </w:r>
      <w:r>
        <w:rPr>
          <w:color w:val="000000"/>
        </w:rPr>
        <w:t xml:space="preserve">  </w:t>
      </w:r>
      <w:r>
        <w:rPr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выполнения требований норм Федерального закона от 24.09.2022 № 371-ФЗ Детский сад провел организационные мероприятия по внедрению федеральной образовательной программы дошкольного образования, утвержденной приказом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России от 25.11.2022 № 1028 (далее — ФОП ДО), в соответствии с утвержденной дорожной картой. Для этого создали рабочую группу в составе заведующего, старшего воспитателя, воспитателя и методиста. </w:t>
      </w:r>
    </w:p>
    <w:p w:rsidR="00B60E79" w:rsidRDefault="00FF223A" w:rsidP="00D95E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Результаты:</w:t>
      </w:r>
    </w:p>
    <w:p w:rsidR="00B60E79" w:rsidRDefault="00D674D3" w:rsidP="00D95E4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pacing w:after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22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утвердили новую основную образовательную программу дошкольного образования Детского сада (далее — ООП ДО), разработанную на основе ФОП ДО, и ввели в действие с 01.09.2023;</w:t>
      </w:r>
    </w:p>
    <w:p w:rsidR="00B60E79" w:rsidRDefault="00D674D3" w:rsidP="00D95E4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pacing w:after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22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скорректировали план-график повышения квалификации педагогических и управленческих кадров и запланировали обучение работников по вопросам применения ФОП ДО;</w:t>
      </w:r>
    </w:p>
    <w:p w:rsidR="00B60E79" w:rsidRDefault="00D674D3" w:rsidP="00D95E4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pacing w:after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22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провели информационно-разъяснительную работу с родителями (законными представителями) воспитанников.</w:t>
      </w:r>
    </w:p>
    <w:p w:rsidR="00B60E79" w:rsidRDefault="00FF223A" w:rsidP="00D95E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посещают 813 воспитанников в возрасте от 1 до 7 лет. В МАДОУ функционирует 23 возрастные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группы  12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-ти  часового пребывания, из них: 1 группа </w:t>
      </w:r>
      <w:r w:rsidR="00D674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направленности, 22 группы – комбинированной направленности и  2 группы кратковременного пребывания.  Группы укомплектованы полностью.</w:t>
      </w:r>
    </w:p>
    <w:p w:rsidR="00D95E45" w:rsidRPr="0062118D" w:rsidRDefault="00D95E45" w:rsidP="00D95E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sz w:val="16"/>
          <w:szCs w:val="8"/>
        </w:rPr>
      </w:pPr>
    </w:p>
    <w:tbl>
      <w:tblPr>
        <w:tblStyle w:val="StGen1"/>
        <w:tblW w:w="96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17"/>
        <w:gridCol w:w="1389"/>
        <w:gridCol w:w="1423"/>
        <w:gridCol w:w="1418"/>
        <w:gridCol w:w="1492"/>
      </w:tblGrid>
      <w:tr w:rsidR="00B60E79" w:rsidTr="00D674D3">
        <w:tc>
          <w:tcPr>
            <w:tcW w:w="1809" w:type="dxa"/>
            <w:vMerge w:val="restart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2117" w:type="dxa"/>
            <w:vMerge w:val="restart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 групп</w:t>
            </w:r>
          </w:p>
        </w:tc>
        <w:tc>
          <w:tcPr>
            <w:tcW w:w="1389" w:type="dxa"/>
            <w:vMerge w:val="restart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4333" w:type="dxa"/>
            <w:gridSpan w:val="3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</w:tr>
      <w:tr w:rsidR="00B60E79" w:rsidTr="00D674D3">
        <w:tc>
          <w:tcPr>
            <w:tcW w:w="1809" w:type="dxa"/>
            <w:vMerge/>
          </w:tcPr>
          <w:p w:rsidR="00B60E79" w:rsidRDefault="00B60E7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:rsidR="00B60E79" w:rsidRDefault="00B60E7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B60E79" w:rsidRDefault="00B60E7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B60E79" w:rsidRDefault="00FF223A" w:rsidP="00621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1492" w:type="dxa"/>
          </w:tcPr>
          <w:p w:rsidR="00B60E79" w:rsidRDefault="00FF223A" w:rsidP="0062118D">
            <w:pPr>
              <w:tabs>
                <w:tab w:val="left" w:pos="122"/>
                <w:tab w:val="center" w:pos="6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мальчиков</w:t>
            </w:r>
          </w:p>
        </w:tc>
      </w:tr>
      <w:tr w:rsidR="00B60E79" w:rsidTr="00D674D3"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ГКП до 1,5 лет</w:t>
            </w: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B60E79" w:rsidTr="00D674D3">
        <w:trPr>
          <w:trHeight w:val="276"/>
        </w:trPr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1,5 до 2 лет</w:t>
            </w: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60E79" w:rsidTr="00D674D3">
        <w:trPr>
          <w:trHeight w:val="276"/>
        </w:trPr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2 до 3 лет</w:t>
            </w:r>
          </w:p>
          <w:p w:rsidR="00B60E79" w:rsidRDefault="00B60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  <w:p w:rsidR="00B60E79" w:rsidRDefault="00B60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60E79" w:rsidTr="00D674D3"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60E79" w:rsidRDefault="00B60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B60E79" w:rsidTr="00D674D3"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60E79" w:rsidTr="00D674D3"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B60E79" w:rsidTr="00D674D3">
        <w:tc>
          <w:tcPr>
            <w:tcW w:w="180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7 лет</w:t>
            </w:r>
          </w:p>
        </w:tc>
        <w:tc>
          <w:tcPr>
            <w:tcW w:w="2117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</w:tr>
      <w:tr w:rsidR="00B60E79" w:rsidTr="00D674D3">
        <w:tc>
          <w:tcPr>
            <w:tcW w:w="3926" w:type="dxa"/>
            <w:gridSpan w:val="2"/>
          </w:tcPr>
          <w:p w:rsidR="00B60E79" w:rsidRDefault="00FF22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89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3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813</w:t>
            </w:r>
          </w:p>
        </w:tc>
        <w:tc>
          <w:tcPr>
            <w:tcW w:w="1418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492" w:type="dxa"/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</w:tr>
    </w:tbl>
    <w:p w:rsidR="00B60E79" w:rsidRDefault="00FF223A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Характеристика семей по составу</w:t>
      </w:r>
    </w:p>
    <w:tbl>
      <w:tblPr>
        <w:tblStyle w:val="StGen2"/>
        <w:tblW w:w="9639" w:type="dxa"/>
        <w:tblInd w:w="-8" w:type="dxa"/>
        <w:tblLayout w:type="fixed"/>
        <w:tblLook w:val="04A0" w:firstRow="1" w:lastRow="0" w:firstColumn="1" w:lastColumn="0" w:noHBand="0" w:noVBand="1"/>
      </w:tblPr>
      <w:tblGrid>
        <w:gridCol w:w="2974"/>
        <w:gridCol w:w="2321"/>
        <w:gridCol w:w="4344"/>
      </w:tblGrid>
      <w:tr w:rsidR="00B60E79" w:rsidTr="0062118D"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 семьи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 w:rsidP="00621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семей</w:t>
            </w:r>
          </w:p>
        </w:tc>
        <w:tc>
          <w:tcPr>
            <w:tcW w:w="4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 w:rsidP="00621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B60E79" w:rsidTr="0062118D"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Полная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745</w:t>
            </w:r>
          </w:p>
        </w:tc>
        <w:tc>
          <w:tcPr>
            <w:tcW w:w="4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91,86%</w:t>
            </w:r>
          </w:p>
        </w:tc>
      </w:tr>
      <w:tr w:rsidR="00B60E79" w:rsidTr="0062118D"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Неполная с матерью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6,41%</w:t>
            </w:r>
          </w:p>
        </w:tc>
      </w:tr>
      <w:tr w:rsidR="00B60E79" w:rsidTr="0062118D"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Неполная с отцом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0,62%</w:t>
            </w:r>
          </w:p>
        </w:tc>
      </w:tr>
      <w:tr w:rsidR="00B60E79" w:rsidTr="0062118D"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Оформлено опекунство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0,62%</w:t>
            </w:r>
          </w:p>
        </w:tc>
      </w:tr>
    </w:tbl>
    <w:p w:rsidR="00B60E79" w:rsidRDefault="00FF223A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Характеристика семей по количеству детей </w:t>
      </w:r>
    </w:p>
    <w:tbl>
      <w:tblPr>
        <w:tblStyle w:val="StGen3"/>
        <w:tblW w:w="9713" w:type="dxa"/>
        <w:tblInd w:w="-75" w:type="dxa"/>
        <w:tblLayout w:type="fixed"/>
        <w:tblLook w:val="04A0" w:firstRow="1" w:lastRow="0" w:firstColumn="1" w:lastColumn="0" w:noHBand="0" w:noVBand="1"/>
      </w:tblPr>
      <w:tblGrid>
        <w:gridCol w:w="3477"/>
        <w:gridCol w:w="2321"/>
        <w:gridCol w:w="3915"/>
      </w:tblGrid>
      <w:tr w:rsidR="00B60E79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семей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B60E79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 ребенок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34,3%</w:t>
            </w:r>
          </w:p>
        </w:tc>
      </w:tr>
      <w:tr w:rsidR="00B60E79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Два ребенка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45,1%</w:t>
            </w:r>
          </w:p>
        </w:tc>
      </w:tr>
      <w:tr w:rsidR="00B60E79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 ребенка и более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20,6%</w:t>
            </w:r>
          </w:p>
        </w:tc>
      </w:tr>
    </w:tbl>
    <w:p w:rsidR="00FF223A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строится в соответствие с планом воспитательной работы ДОУ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62118D" w:rsidRPr="0062118D" w:rsidRDefault="0062118D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F223A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Дополнительное образование.</w:t>
      </w:r>
    </w:p>
    <w:p w:rsidR="0062118D" w:rsidRPr="0062118D" w:rsidRDefault="0062118D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детском саду в 2023 году дополнительные общеразвивающие программы реализовались по направлениям: художественно-эстетическое, физкультурно-оздоровительное речевое, познавательное. Источник финансирования: средства бюджета и физических лиц. Подробная характеристика — в таблице.</w:t>
      </w:r>
    </w:p>
    <w:p w:rsidR="0062118D" w:rsidRPr="0062118D" w:rsidRDefault="0062118D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2"/>
        <w:tblW w:w="9655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2885"/>
        <w:gridCol w:w="1439"/>
        <w:gridCol w:w="967"/>
        <w:gridCol w:w="748"/>
        <w:gridCol w:w="1068"/>
        <w:gridCol w:w="967"/>
        <w:gridCol w:w="932"/>
      </w:tblGrid>
      <w:tr w:rsidR="00B60E79" w:rsidTr="00FF223A">
        <w:trPr>
          <w:trHeight w:val="57"/>
        </w:trPr>
        <w:tc>
          <w:tcPr>
            <w:tcW w:w="6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№ п/п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Направленность / Наименование программы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Форма организации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Возраст</w:t>
            </w:r>
          </w:p>
        </w:tc>
        <w:tc>
          <w:tcPr>
            <w:tcW w:w="1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Год, количество воспитанников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Бюджет</w:t>
            </w:r>
          </w:p>
        </w:tc>
        <w:tc>
          <w:tcPr>
            <w:tcW w:w="9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плату</w:t>
            </w:r>
          </w:p>
        </w:tc>
      </w:tr>
      <w:tr w:rsidR="00B60E79" w:rsidTr="00FF223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0E79" w:rsidRDefault="00B60E79">
            <w:pPr>
              <w:spacing w:after="0" w:line="240" w:lineRule="auto"/>
            </w:pPr>
          </w:p>
        </w:tc>
        <w:tc>
          <w:tcPr>
            <w:tcW w:w="2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0E79" w:rsidRDefault="00B60E7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0E79" w:rsidRDefault="00B60E7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0E79" w:rsidRDefault="00B60E79">
            <w:pPr>
              <w:spacing w:after="0" w:line="240" w:lineRule="auto"/>
            </w:pP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0E79" w:rsidRDefault="00B60E7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0E79" w:rsidRDefault="00B60E79">
            <w:pPr>
              <w:spacing w:after="0" w:line="240" w:lineRule="auto"/>
            </w:pP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2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Художественно-эстетическое 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287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362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«Цветные ладошки»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Музыкально-ритмическая гимнастика «СА-ФИ-ДАНСЕ»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42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11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«Волшебная иголочка»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 Вокальный  ансамбль «Соловушки»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«Юный художник»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17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23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1.7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Театральная студия «Овация»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1.8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«Волшебная лента»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1.9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«Пластилиновое чудо»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1.5-3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Танцевальная студия «Карусель»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1.11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«Мульти-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пульти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11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1.12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эстрадного танца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4-6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2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Физкультурно-спортивное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665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501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«Футбол»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66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«Шахматы»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75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52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«Каратэ»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96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55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Чирлидинг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32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60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«Я умею плавать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337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242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«Спортивный калейдоскоп»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11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Степ-аэробика «Чудо-платформа»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2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Речевое 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«Умный язычок»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4-6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Логоритмика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39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42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2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Познавательное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265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271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«Как хорошо уметь читать»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69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«Песочная сказка»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94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«Я люблю английский»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34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-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«Чудо-песок»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1,5-3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t>10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«Робототехника»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22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16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4.6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Кружок «Научные развлечения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Нуарашей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-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4.7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Кружок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Карапузофизика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групповая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5-7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46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color w:val="000000"/>
              </w:rPr>
              <w:t>62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</w:t>
            </w:r>
          </w:p>
        </w:tc>
      </w:tr>
      <w:tr w:rsidR="00B60E79" w:rsidTr="00FF223A">
        <w:tc>
          <w:tcPr>
            <w:tcW w:w="59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1302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1333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62118D" w:rsidRPr="0062118D" w:rsidRDefault="00FF223A" w:rsidP="006211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60E79" w:rsidRDefault="00FF223A" w:rsidP="006211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Дополнительным образованием охвачено 82% воспитанников детского сада. Воспитанники Детского сада имеют возможность выбрать кружок по интересам. По результатам работы кружков в конце учебного года для родителей проведены открытые занятия. Получены положительные отзывы родителей. </w:t>
      </w:r>
      <w:r>
        <w:t xml:space="preserve"> </w:t>
      </w:r>
    </w:p>
    <w:p w:rsidR="00B60E79" w:rsidRDefault="00FF223A" w:rsidP="006211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С целью повышения информированности родителей на сайте и в холле ДОУ оформлен стенд «Дополнительные образовательные услуги», на котором размещена информация о нормативной документации по оказанию данных услуг, а также расписание занятий и стоимость одного занятия. Дополнительное образование реализуется достаточно активно, число получателей дополнительных услуг выросло в 2023 году по сравнению с 2022 годом на 2,3 %. Особенно востребованы кружки художественно - эстетической и физической направленности.</w:t>
      </w:r>
    </w:p>
    <w:p w:rsidR="00B60E79" w:rsidRDefault="00B60E79" w:rsidP="00621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E79" w:rsidRDefault="00FF223A" w:rsidP="0062118D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 Оценка системы управления организации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Учреждением осуществляется в соответствии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действующим законодательством Российской Федерации с учетом особенностей, установленных Федеральным законом от 29 декабря 2012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№ 273-ФЗ «Об образовании в Российской Федерации» и  Уставом,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основе сочетания принципов единоначалия и коллегиальности.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Единоличным исполнительным органом Учреждения является руководитель (заведующий) Учреждением.</w:t>
      </w:r>
    </w:p>
    <w:p w:rsidR="00B60E79" w:rsidRDefault="00FF223A" w:rsidP="006211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Коллегиальными органами управления Учреждения являются Общее собрание работников, Педагогический совет, Наблюдательный совет, Управляющий совет. Система управления Учреждением включает линейно-функциональную структуру. Руководителю подчиняются функциональные менеджеры.</w:t>
      </w:r>
    </w:p>
    <w:p w:rsidR="00B60E79" w:rsidRDefault="00FF223A" w:rsidP="0062118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Органы управления, действующие в Учреждение</w:t>
      </w:r>
    </w:p>
    <w:p w:rsidR="0062118D" w:rsidRPr="0062118D" w:rsidRDefault="0062118D" w:rsidP="0062118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StGen5"/>
        <w:tblW w:w="9646" w:type="dxa"/>
        <w:tblInd w:w="-8" w:type="dxa"/>
        <w:tblLayout w:type="fixed"/>
        <w:tblLook w:val="04A0" w:firstRow="1" w:lastRow="0" w:firstColumn="1" w:lastColumn="0" w:noHBand="0" w:noVBand="1"/>
      </w:tblPr>
      <w:tblGrid>
        <w:gridCol w:w="1918"/>
        <w:gridCol w:w="7728"/>
      </w:tblGrid>
      <w:tr w:rsidR="00B60E79" w:rsidTr="00F87A15">
        <w:trPr>
          <w:trHeight w:val="561"/>
        </w:trPr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B60E79" w:rsidTr="00F87A1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B60E79" w:rsidTr="00F87A1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является коллегиальным органом управления Учреждением, осуществляющим полномочия работников Учреждения. Основной задачей Общего собрания является коллегиальное решение важных вопросов жизнедеятельности трудового коллектива. Реализует право работников участвовать в управлении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организацией, в том числе:</w:t>
            </w:r>
          </w:p>
          <w:p w:rsidR="00B60E79" w:rsidRDefault="00FF223A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60E79" w:rsidRDefault="00FF223A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60E79" w:rsidRDefault="00FF223A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B60E79" w:rsidTr="00F87A1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Наблюдательный совет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является коллегиальным органом управления Учреждением,  реализующим принцип государственно – общественного управления, осуществляет деятельность в соответствии с действующим законодательством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 Уставом.</w:t>
            </w:r>
          </w:p>
        </w:tc>
      </w:tr>
      <w:tr w:rsidR="00B60E79" w:rsidTr="00F87A15">
        <w:trPr>
          <w:trHeight w:val="1318"/>
        </w:trPr>
        <w:tc>
          <w:tcPr>
            <w:tcW w:w="19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77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является коллегиальным органом управления Учреждением, в деятельности которого реализуются права участников образовательного процесса и общества на участие в управлении Учреждением. Рассматривает вопросы: развития  образовательной организации;  финансово-хозяйственной деятельности; материально-технического обеспечения</w:t>
            </w:r>
          </w:p>
        </w:tc>
      </w:tr>
      <w:tr w:rsidR="00B60E79" w:rsidTr="00F87A15">
        <w:tc>
          <w:tcPr>
            <w:tcW w:w="19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7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E79" w:rsidRDefault="00FF22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является коллегиальным органом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управления  Учреждением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создан в целях реализации права педагогических работников на участие в управлении Учреждением, развития содержания образования, повышения качества воспитания и обучения воспитанников, содействия повышению квалификации работников Учреждения. Осуществляет текущее руководство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 деятельностью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Детского сада, в том числе рассматривает  вопросы: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воспитания;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B60E79" w:rsidRDefault="00FF223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:rsidR="00B60E79" w:rsidRDefault="00FF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координации деятельности методических объединений</w:t>
            </w:r>
          </w:p>
        </w:tc>
      </w:tr>
    </w:tbl>
    <w:p w:rsidR="00B60E79" w:rsidRPr="0062118D" w:rsidRDefault="00B60E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коллегиальный орган наделен определенными компетенциями, которые не в праве решать другой орган. Деятельность вышеперечисленных коллегиальных органов обеспечивает эффективную и стабильную деятельность Учреждения.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Структура и система управления соответствуют специфике деятельности Детского сада. В 2023 году в систему управления Детским садом внедрили элементы электронного документооборота, с этого времени эта система успешно работает. 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 итогам 2023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планируются мероприятия по дальнейшей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кадрового делопроизводства.</w:t>
      </w:r>
    </w:p>
    <w:p w:rsidR="00B60E79" w:rsidRDefault="00FF223A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Оценка содержания и качества подготовки обучающихся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2023 году содержание основной образовательной программы дошкольного образования было обновлено в соответствие с федеральной образовательной программой дошкольного образования, федеральной адаптированной образовательной программой дошкольного образования. В комплексно-тематический план были внесены поправки, связанные с обучением детей чтению, финансовой грамотности. В детском саду прошел смотр –конкурс уголков патриотического воспитания, которые были организованы в каждой группе.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итогам педагогической и психологической диагностики были проанализирован уровень развития воспитанников. Формы проведения диагностики: беседы с детьми, наблюдения, анализ продуктов детских видов деятельности.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детей раннего и младшего дошкольного возраста используются диагностические карты, разработанные педагогами ДОУ в соответствие с основной образовательной программой дошкольного образования ДОУ (</w:t>
      </w:r>
      <w:r w:rsidR="00F87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далее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ООП ДО ДОУ).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</w:t>
      </w:r>
    </w:p>
    <w:p w:rsidR="00B60E79" w:rsidRDefault="00FF223A" w:rsidP="0062118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детей среднего и старшего дошкольного возраста результаты освоения основной образовательной программы заполнялись на портале «Личный кабинет дошкольника». Результаты качества освоения ООП ДО по итогам 2023 года выглядят следующим образом:</w:t>
      </w:r>
    </w:p>
    <w:p w:rsidR="00B60E79" w:rsidRPr="00F87A15" w:rsidRDefault="00B60E7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16"/>
          <w:szCs w:val="28"/>
        </w:rPr>
      </w:pPr>
    </w:p>
    <w:tbl>
      <w:tblPr>
        <w:tblStyle w:val="StGen6"/>
        <w:tblW w:w="9539" w:type="dxa"/>
        <w:jc w:val="center"/>
        <w:tblInd w:w="0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276"/>
        <w:gridCol w:w="1276"/>
        <w:gridCol w:w="1134"/>
        <w:gridCol w:w="2314"/>
      </w:tblGrid>
      <w:tr w:rsidR="00B60E79" w:rsidTr="00F87A15">
        <w:trPr>
          <w:jc w:val="center"/>
        </w:trPr>
        <w:tc>
          <w:tcPr>
            <w:tcW w:w="353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spacing w:after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/ критерии</w:t>
            </w:r>
          </w:p>
          <w:p w:rsidR="00B60E79" w:rsidRDefault="00B60E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0E79" w:rsidRDefault="00B60E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 w:rsidP="00B11D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Выше нормы</w:t>
            </w:r>
          </w:p>
        </w:tc>
        <w:tc>
          <w:tcPr>
            <w:tcW w:w="12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 w:rsidP="00B11D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Норма</w:t>
            </w:r>
          </w:p>
        </w:tc>
        <w:tc>
          <w:tcPr>
            <w:tcW w:w="113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 w:rsidP="00B11D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Ниже нормы</w:t>
            </w:r>
          </w:p>
        </w:tc>
        <w:tc>
          <w:tcPr>
            <w:tcW w:w="23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 w:rsidP="00B11D0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Освоившие  образовательную программу</w:t>
            </w:r>
          </w:p>
        </w:tc>
      </w:tr>
      <w:tr w:rsidR="00B60E79" w:rsidTr="00F87A15">
        <w:trPr>
          <w:trHeight w:val="450"/>
          <w:jc w:val="center"/>
        </w:trPr>
        <w:tc>
          <w:tcPr>
            <w:tcW w:w="3539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B60E79"/>
        </w:tc>
        <w:tc>
          <w:tcPr>
            <w:tcW w:w="6000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%</w:t>
            </w:r>
          </w:p>
        </w:tc>
      </w:tr>
      <w:tr w:rsidR="00B60E79" w:rsidTr="00F87A15">
        <w:trPr>
          <w:jc w:val="center"/>
        </w:trPr>
        <w:tc>
          <w:tcPr>
            <w:tcW w:w="35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spacing w:after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Уровень освоения образовательных областей</w:t>
            </w:r>
          </w:p>
        </w:tc>
        <w:tc>
          <w:tcPr>
            <w:tcW w:w="12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jc w:val="center"/>
              <w:rPr>
                <w:rFonts w:ascii="Asana" w:hAnsi="Asana" w:cs="Asana"/>
                <w:color w:val="000000" w:themeColor="text1"/>
                <w:sz w:val="24"/>
                <w:szCs w:val="24"/>
              </w:rPr>
            </w:pPr>
            <w:r>
              <w:rPr>
                <w:rFonts w:ascii="Asana" w:eastAsia="Times New Roman" w:hAnsi="Asana" w:cs="Asana"/>
                <w:color w:val="000000" w:themeColor="text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2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jc w:val="center"/>
              <w:rPr>
                <w:rFonts w:ascii="Asana" w:hAnsi="Asana" w:cs="Asana"/>
                <w:color w:val="000000" w:themeColor="text1"/>
                <w:sz w:val="24"/>
                <w:szCs w:val="24"/>
              </w:rPr>
            </w:pPr>
            <w:r>
              <w:rPr>
                <w:rFonts w:ascii="Asana" w:eastAsia="Times New Roman" w:hAnsi="Asana" w:cs="Asana"/>
                <w:color w:val="000000" w:themeColor="text1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13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tabs>
                <w:tab w:val="center" w:pos="763"/>
              </w:tabs>
              <w:jc w:val="center"/>
              <w:rPr>
                <w:rFonts w:ascii="Asana" w:hAnsi="Asana" w:cs="Asana"/>
                <w:color w:val="000000" w:themeColor="text1"/>
                <w:sz w:val="24"/>
                <w:szCs w:val="24"/>
              </w:rPr>
            </w:pPr>
            <w:r>
              <w:rPr>
                <w:rFonts w:ascii="Asana" w:eastAsia="Times New Roman" w:hAnsi="Asana" w:cs="Asana"/>
                <w:color w:val="000000" w:themeColor="text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60E79" w:rsidRDefault="00FF223A">
            <w:pPr>
              <w:spacing w:after="0"/>
              <w:jc w:val="center"/>
              <w:rPr>
                <w:rFonts w:ascii="Asana" w:hAnsi="Asana" w:cs="Asana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sana" w:eastAsia="Times New Roman" w:hAnsi="Asana" w:cs="Asana"/>
                <w:color w:val="000000" w:themeColor="text1"/>
                <w:sz w:val="24"/>
                <w:szCs w:val="24"/>
              </w:rPr>
              <w:t>97</w:t>
            </w:r>
          </w:p>
        </w:tc>
      </w:tr>
    </w:tbl>
    <w:p w:rsidR="00B60E79" w:rsidRPr="0062118D" w:rsidRDefault="00FF223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марте 2023 года педагоги-психологи ДОУ проводили обследование воспитанников подготовительной группы на предмет оценки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предпосылок к учебной деятельности: возможность работать в соответствии с фронтальной инструкцией (удержание алгоритма деятельности), 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Результаты педагогического анализа: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B60E79" w:rsidRDefault="00FF223A" w:rsidP="006211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подготовительных группах ДОУ в 2023 году педагоги проводили занятия с использованием образовательной платформы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ЭО (Мобильное электронное образование). </w:t>
      </w:r>
    </w:p>
    <w:p w:rsidR="00B60E79" w:rsidRDefault="00FF223A" w:rsidP="006211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2023 году в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оспитанники под руководством педагогов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приняли участие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детских творческих конкурсах 133 раза, из них 86 детей стали победителями и заняли призовые места в таких конкурсах, как «Городской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видеоконкурс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«Воспитатель - лучший друг», Всероссийский конкурс  детских творческих работ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Бескрайний космос», 9 городской фестиваль-конкурс детского певческого искусства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Малиновка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 городской фестиваль детского музыкального творчества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Симфония талантов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городской он-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конкурс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Необычные эксперименты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городской конкурс чтецов для детей с ОВЗ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Речецветик</w:t>
      </w:r>
      <w:proofErr w:type="spellEnd"/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многих всероссийских творческих конкурсах для детей.</w:t>
      </w:r>
    </w:p>
    <w:p w:rsidR="00B60E79" w:rsidRDefault="00FF223A" w:rsidP="0062118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 1. Сравнительный анализ участия детей в конкурсах</w:t>
      </w:r>
    </w:p>
    <w:p w:rsidR="00B60E79" w:rsidRDefault="00FF223A" w:rsidP="00F045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56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71795" cy="3203575"/>
            <wp:effectExtent l="4762" t="4762" r="4762" b="4762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0E79" w:rsidRDefault="00FF223A" w:rsidP="00F045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61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gjdgxs"/>
      <w:bookmarkEnd w:id="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муниципальной конкурсной системе «12 конкурсов -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 месяцев» в 2023 году приняло участие 1322 ребенка МАДОУ «Детский сад № 120»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г.Перми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из них: старшего дошкольного возраста (5-6 лет)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571 ребенок; старшего дошкольного возраста (6-7 лет) </w:t>
      </w:r>
      <w:r w:rsidR="00F04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751 ребенок. Победителями, занявшими призовые места на городском уровне, стали 4 ребенка. </w:t>
      </w:r>
    </w:p>
    <w:p w:rsidR="006200CC" w:rsidRDefault="00FF223A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Диаграмма 2. Сравнительный анализ участия детей в МКС «12 конкурсов </w:t>
      </w:r>
      <w:r w:rsidR="00620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60E79" w:rsidRDefault="006200CC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FF22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 месяцев»</w:t>
      </w:r>
    </w:p>
    <w:p w:rsidR="00B60E79" w:rsidRDefault="00FF22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56" w:lineRule="atLeast"/>
        <w:jc w:val="both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77210" cy="2855595"/>
            <wp:effectExtent l="4762" t="4762" r="4762" b="4762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96235" cy="2855595"/>
            <wp:effectExtent l="4762" t="4762" r="4762" b="4762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0E79" w:rsidRDefault="00FF223A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2023 году в детских творческих конкурсах воспитанники приняли участие 133 раза из них 86 детей стали победителями и заняли призовые места в таких конкурсах как «Городской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видеоконкурс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«Воспитатель - лучший друг», Всероссийский конкурс  детских творческих работ 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Бескрайний космос», 9 городской фестиваль-конкурс детского певческого искусства 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Малиновка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 городской фестиваль детского музыкального творчества 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Симфония талантов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городской он-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конкурс 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Необычные эксперименты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городской 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чтецов для детей с ОВЗ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Речецветик</w:t>
      </w:r>
      <w:proofErr w:type="spellEnd"/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200CC" w:rsidRDefault="006200CC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60E79" w:rsidRDefault="00FF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IV. Оценка организации учебного процесса </w:t>
      </w:r>
    </w:p>
    <w:p w:rsidR="00B60E79" w:rsidRDefault="00FF223A" w:rsidP="00D003A0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-образовательного процесса)</w:t>
      </w:r>
    </w:p>
    <w:p w:rsidR="00B60E79" w:rsidRDefault="00FF223A" w:rsidP="006200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B60E79" w:rsidRDefault="00FF223A" w:rsidP="006200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форма организации образовательного процесса:</w:t>
      </w:r>
    </w:p>
    <w:p w:rsidR="00B60E79" w:rsidRDefault="00D003A0" w:rsidP="006200CC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 </w:t>
      </w:r>
      <w:r w:rsidR="00FF22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B60E79" w:rsidRDefault="00D003A0" w:rsidP="006200CC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F22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B60E79" w:rsidRDefault="00FF223A" w:rsidP="006200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в рамках образовательной деятельности ведутся по подгруппам</w:t>
      </w:r>
      <w:r w:rsidR="00D003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 Продолжительность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занятий соответствует СанПиН 1.2.3685-21 и составляет:</w:t>
      </w:r>
    </w:p>
    <w:p w:rsidR="00B60E79" w:rsidRDefault="00FF223A" w:rsidP="006200CC">
      <w:pPr>
        <w:numPr>
          <w:ilvl w:val="0"/>
          <w:numId w:val="4"/>
        </w:numPr>
        <w:spacing w:after="0" w:line="240" w:lineRule="auto"/>
        <w:ind w:left="780" w:right="18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с детьми от 1,5 до 3 лет – до 10 мин;</w:t>
      </w:r>
    </w:p>
    <w:p w:rsidR="00B60E79" w:rsidRDefault="00FF223A" w:rsidP="006200CC">
      <w:pPr>
        <w:numPr>
          <w:ilvl w:val="0"/>
          <w:numId w:val="4"/>
        </w:numPr>
        <w:spacing w:after="0" w:line="240" w:lineRule="auto"/>
        <w:ind w:left="780" w:right="18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с детьми от 3 до 4 лет – до 15 мин;</w:t>
      </w:r>
    </w:p>
    <w:p w:rsidR="00B60E79" w:rsidRDefault="00FF223A" w:rsidP="006200CC">
      <w:pPr>
        <w:numPr>
          <w:ilvl w:val="0"/>
          <w:numId w:val="4"/>
        </w:numPr>
        <w:spacing w:after="0" w:line="240" w:lineRule="auto"/>
        <w:ind w:left="780" w:right="18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с детьми от 4 до 5 лет – до 20 мин;</w:t>
      </w:r>
    </w:p>
    <w:p w:rsidR="00B60E79" w:rsidRDefault="00FF223A" w:rsidP="006200CC">
      <w:pPr>
        <w:numPr>
          <w:ilvl w:val="0"/>
          <w:numId w:val="4"/>
        </w:numPr>
        <w:spacing w:after="0" w:line="240" w:lineRule="auto"/>
        <w:ind w:left="780" w:right="18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с детьми от 5 до 6 лет – до 25 мин;</w:t>
      </w:r>
    </w:p>
    <w:p w:rsidR="00B60E79" w:rsidRDefault="00FF223A" w:rsidP="006200CC">
      <w:pPr>
        <w:numPr>
          <w:ilvl w:val="0"/>
          <w:numId w:val="4"/>
        </w:numPr>
        <w:spacing w:after="0" w:line="240" w:lineRule="auto"/>
        <w:ind w:left="780" w:right="18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с детьми от 6 до 7 лет – до 30 мин.</w:t>
      </w:r>
    </w:p>
    <w:p w:rsidR="00B60E79" w:rsidRDefault="00FF223A" w:rsidP="00620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B60E79" w:rsidRDefault="00FF223A" w:rsidP="00620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с детьми организуются с учетом основных детских видов деятельности, ведущим из которых является игровая.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B60E79" w:rsidRDefault="00FF223A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01.03.2023 Детский сад реализует программы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программам, утвержденным приказом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России от 27.07.2022 </w:t>
      </w:r>
      <w:r w:rsidR="007A11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 629. На основании заявлений родителей воспитанники с ограниченными возможностями здоровья обучаются по четырем адаптированным дополнительным общеобразовательным программам, разработанным с учетом особенностей психофизического развития детей. Дополнительным образованием охвачено 85 воспитанников с ОВЗ (85,0%).</w:t>
      </w:r>
    </w:p>
    <w:p w:rsidR="00B60E79" w:rsidRDefault="00FF223A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С 01.10.2023 педагоги Детского сада осваивают функционал ФГИС «Моя школа». Ее внедрение пока встречает частое непонимание со стороны родителей воспитанников. Однако</w:t>
      </w:r>
      <w:r w:rsidR="000C7BF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и те, кто уже успел за три месяца работы оценить плюсы системы. Так, с помощью ФГИС «Моя школа» педагоги и родители могут: просматривать разнообразные обуч</w:t>
      </w:r>
      <w:r w:rsidR="000C7BFE"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 и методические материалы,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создавать персональные и групповые онлайн-коммуникации, включая чаты и видеоконференции, проводить онлайн-трансляции занятий с возможностью массовых просмотров и комментирования, направлять и получать уведомления о событиях в рамках образовательного процесса.</w:t>
      </w:r>
    </w:p>
    <w:p w:rsidR="006200CC" w:rsidRDefault="006200CC" w:rsidP="006200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sz w:val="28"/>
          <w:szCs w:val="28"/>
        </w:rPr>
      </w:pPr>
    </w:p>
    <w:p w:rsidR="00B60E79" w:rsidRDefault="00FF223A" w:rsidP="00745214">
      <w:pPr>
        <w:spacing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V. Оценка качества кадрового обеспечения</w:t>
      </w:r>
    </w:p>
    <w:p w:rsidR="00B60E79" w:rsidRDefault="00FF223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Детский сад в 2023 году укомплектован педагогическими кадрами на 100%.  Всего работающих –</w:t>
      </w:r>
      <w:r w:rsidR="007452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87 человек, из них педагогов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57 человек, в том числе 11 специалистов. Соотношение воспитанников, приходящихся на 1 взрослого:</w:t>
      </w:r>
    </w:p>
    <w:p w:rsidR="00B60E79" w:rsidRDefault="00FF223A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воспитанник/педагоги – 14/1;</w:t>
      </w:r>
    </w:p>
    <w:p w:rsidR="00B60E79" w:rsidRDefault="00FF223A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воспитанники/все сотрудники – 9/1.</w:t>
      </w:r>
    </w:p>
    <w:p w:rsidR="00B60E79" w:rsidRDefault="00FF223A" w:rsidP="0074521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56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Курсы </w:t>
      </w:r>
      <w:hyperlink r:id="rId12" w:anchor="/document/16/4019/" w:tooltip="https://vip.1obraz.ru/#/document/16/4019/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повышения квалификации</w:t>
        </w:r>
      </w:hyperlink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2023 году прошли 47 человек (82%), из них: обучены на КПК по ФОП ДО 82% (47 человек), по работе с детьми с ОВЗ - 4 педагога</w:t>
      </w:r>
      <w:r w:rsidR="007452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- 6 педагогов</w:t>
      </w:r>
      <w:r>
        <w:rPr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методикам - 4 педагога</w:t>
      </w:r>
      <w:r>
        <w:rPr>
          <w:color w:val="000000" w:themeColor="text1"/>
          <w:sz w:val="28"/>
          <w:szCs w:val="28"/>
        </w:rPr>
        <w:t>.</w:t>
      </w:r>
    </w:p>
    <w:p w:rsidR="00B60E79" w:rsidRDefault="00FF22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2023 году прошли аттестацию </w:t>
      </w:r>
      <w:r w:rsidR="00371D26"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педагогов, из них аттестовались: 4 – на высшую </w:t>
      </w:r>
      <w:r w:rsidR="003C103D"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квалификационную </w:t>
      </w:r>
      <w:r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категорию, </w:t>
      </w:r>
      <w:r w:rsidR="00371D26"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на первую</w:t>
      </w:r>
      <w:r w:rsidR="003C103D"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квалификационную категорию</w:t>
      </w:r>
      <w:r w:rsidRPr="00371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60E79" w:rsidRDefault="00FF223A" w:rsidP="00CA362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 3.  Сравнительный анализ уровня квалификации педагогов (в %)</w:t>
      </w:r>
    </w:p>
    <w:p w:rsidR="00B60E79" w:rsidRDefault="00FF223A" w:rsidP="00D143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85765" cy="2218690"/>
            <wp:effectExtent l="4762" t="4762" r="4762" b="4762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0E79" w:rsidRDefault="00B60E79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0981" w:rsidRDefault="00010981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0981" w:rsidRDefault="00010981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0981" w:rsidRDefault="00010981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0981" w:rsidRDefault="00010981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10981" w:rsidRDefault="00010981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60E79" w:rsidRDefault="00FF223A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 4. Сравнительный анализ педагогов по стажу работы. (в %)</w:t>
      </w:r>
    </w:p>
    <w:p w:rsidR="00B60E79" w:rsidRDefault="00FF223A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85765" cy="2261235"/>
            <wp:effectExtent l="4762" t="4762" r="4762" b="4762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0E79" w:rsidRDefault="00B60E79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60E79" w:rsidRDefault="00FF223A" w:rsidP="00CA362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 5. Сравнительный анализ педагогов по возрасту (в %)</w:t>
      </w:r>
    </w:p>
    <w:p w:rsidR="00B60E79" w:rsidRDefault="00B60E79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60E79" w:rsidRDefault="00FF223A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85765" cy="2658110"/>
            <wp:effectExtent l="4762" t="4762" r="4762" b="4762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0E79" w:rsidRDefault="00B60E79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60E79" w:rsidRDefault="00FF223A" w:rsidP="009843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Курсы </w:t>
      </w:r>
      <w:hyperlink r:id="rId16" w:anchor="/document/16/4019/" w:tooltip="https://vip.1obraz.ru/#/document/16/4019/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повышения квалификации</w:t>
        </w:r>
      </w:hyperlink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2023 году прошли 47 человек (82%), из них: обучены на КПК по ФОП ДО 82% (47 человек), по работе с детьми с ОВЗ - 4 педагога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- 6 педагогов</w:t>
      </w:r>
      <w:r>
        <w:rPr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методикам - 4 педагога</w:t>
      </w:r>
      <w:r>
        <w:rPr>
          <w:color w:val="000000" w:themeColor="text1"/>
          <w:sz w:val="28"/>
          <w:szCs w:val="28"/>
        </w:rPr>
        <w:t>.</w:t>
      </w:r>
    </w:p>
    <w:p w:rsidR="00B60E79" w:rsidRDefault="00FF223A" w:rsidP="009843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01.09.2023 Детский сад применяет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профстандарт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педагога-дефектолога, утвержденный приказом Минтруда от 13.03.2023 № 136н. Это позволило разграничить функционал между специалистами. Таким образом, нагрузка на учителя-логопеда уменьшилась. В результате быстро «закрылись» вакантные должности специалистов, и Детский сад может оказывать эффективную помощь и сопровождение воспитанникам по запросу родителей. </w:t>
      </w:r>
    </w:p>
    <w:p w:rsidR="00B60E79" w:rsidRDefault="00FF223A" w:rsidP="009843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саморазвиваются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2023 год 11 педагогов на 6 городских площадках презентовали свой опыт работы на уровне города и края в рамках ГМО, городских ВТК,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приняли участие:</w:t>
      </w:r>
    </w:p>
    <w:p w:rsidR="00B60E79" w:rsidRDefault="00FF223A" w:rsidP="0098438F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III межрегиональном форуме педагогов дошкольных образовательных организаций;</w:t>
      </w:r>
    </w:p>
    <w:p w:rsidR="00B60E79" w:rsidRDefault="00FF223A" w:rsidP="0098438F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 межрегионального семинара-практикума «Развитие профессиональных компетенций педагога дошкольной образовательной организации в условиях реализации ФГОС»;</w:t>
      </w:r>
    </w:p>
    <w:p w:rsidR="00B60E79" w:rsidRDefault="00FF223A" w:rsidP="0098438F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межрегиональной научно-практической конференции «Воспитание и дистанционные образовательные технологии в дошкольной организации».</w:t>
      </w:r>
    </w:p>
    <w:p w:rsidR="00B60E79" w:rsidRDefault="00FF223A" w:rsidP="009843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3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течении 2023 года 48 педагогов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МАДОУ «Детский сад №</w:t>
      </w:r>
      <w:r w:rsidR="009843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120»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г.Перми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приняли участие в конкурсах педагогического мастерства регионального и городского уровней.  Всего за год было 193 участий в 66 конкурсах, из них – 134 раза педагоги заняли призовые места в конкурсах: Межрегиональный конкурс методических и дидактических разработок «Погуляем, поиграем», Городская Интеллектуальная игра 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Своя игра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16 чемпионат</w:t>
      </w:r>
      <w:r>
        <w:rPr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Всероссийский конкурс «Калейдоскоп педагогических идей. 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Летний переполох</w:t>
      </w:r>
      <w:r>
        <w:rPr>
          <w:color w:val="000000" w:themeColor="text1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Городской конкурс 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Песни, с которыми мы победили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айонный конкурс 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Навеки в памяти людской</w:t>
      </w:r>
      <w:r w:rsidR="009843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ЦРСО межрегиональный конкурс методических и дидактических разработок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PROсреду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 другие.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f2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4380"/>
      </w:tblGrid>
      <w:tr w:rsidR="00B60E79" w:rsidTr="0098438F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 участия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</w:tr>
      <w:tr w:rsidR="00B60E79" w:rsidTr="0098438F">
        <w:trPr>
          <w:trHeight w:val="293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B60E79" w:rsidTr="0098438F">
        <w:trPr>
          <w:trHeight w:val="199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</w:tr>
      <w:tr w:rsidR="00B60E79" w:rsidTr="0098438F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B60E79" w:rsidTr="0098438F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B60E79" w:rsidTr="0098438F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Всего участий 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0E79" w:rsidRDefault="00FF22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3" w:lineRule="atLeast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193</w:t>
            </w:r>
          </w:p>
        </w:tc>
      </w:tr>
    </w:tbl>
    <w:p w:rsidR="00010981" w:rsidRDefault="00FF22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8"/>
          <w:szCs w:val="8"/>
        </w:rPr>
      </w:pPr>
      <w:r w:rsidRPr="00010981">
        <w:rPr>
          <w:rFonts w:ascii="Times New Roman" w:eastAsia="Times New Roman" w:hAnsi="Times New Roman" w:cs="Times New Roman"/>
          <w:color w:val="000000" w:themeColor="text1"/>
          <w:sz w:val="8"/>
          <w:szCs w:val="8"/>
        </w:rPr>
        <w:t xml:space="preserve"> </w:t>
      </w:r>
    </w:p>
    <w:p w:rsidR="00B60E79" w:rsidRDefault="00FF22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Диаграмма 6. Сравнительный анализ участия педагогов в конкурсах</w:t>
      </w:r>
    </w:p>
    <w:p w:rsidR="00B60E79" w:rsidRDefault="00FF223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6107430" cy="2089785"/>
            <wp:effectExtent l="0" t="0" r="7620" b="57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60E79" w:rsidRDefault="00B60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</w:pPr>
    </w:p>
    <w:p w:rsidR="0098438F" w:rsidRDefault="00FF223A" w:rsidP="009843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VI. Оценка учебно-методического </w:t>
      </w:r>
    </w:p>
    <w:p w:rsidR="00B60E79" w:rsidRDefault="00FF223A" w:rsidP="0098438F">
      <w:pPr>
        <w:spacing w:after="24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 библиотечно-информационного обеспечения</w:t>
      </w:r>
    </w:p>
    <w:p w:rsidR="00B60E79" w:rsidRDefault="00FF2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-образовательной работы в соответствии с обязательной частью ООП ДО.</w:t>
      </w:r>
    </w:p>
    <w:p w:rsidR="00B60E79" w:rsidRDefault="00FF223A" w:rsidP="0098438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4"/>
        </w:rPr>
        <w:t xml:space="preserve">Анализ обеспечения наглядным оборудованием позволяет утверждать о достаточной большой наполняемости демонстрационного материала к темам ООП ДО ДОУ. Данные пособия, собранные в одном месте, представляют собой библиотеку дидактического наглядного материала, который могут использовать все педагоги ДОУ. Дополнительно в каждой группе воспитатели создают свою подборку наглядного материала в соответствие с возрастными особенностями детей. Анализ методической литературы показал недостаточность материалов по приоритетному направлению развития- патриотическому воспитанию. В 2023 г. была приобретена серия методических материалов по данному направлению для старшего и среднего возраста.  Существующий в ДОУ Электронный Методический Кабинет (далее - ЭМК) ДОУ постоянно пополняется наглядным материалом в электронном виде: это цифровые картинки, презентации, дидактические игры на разный возраст, которые можно демонстрировать с помощью цифрового оборудования на экране и в любой момент распечатать для повседневного обогащения развивающей среды в группах. </w:t>
      </w:r>
    </w:p>
    <w:p w:rsidR="00B60E79" w:rsidRDefault="00FF223A" w:rsidP="0098438F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При анализе фонда детской художественной литературы выявилась недостаточная оснащенность в группах книжками с картинками для детей в соответствие с литературой, рекомендуемой для чтения в соответствие с р</w:t>
      </w:r>
      <w:r>
        <w:rPr>
          <w:rFonts w:ascii="Times New Roman" w:hAnsi="Times New Roman" w:cs="Times New Roman"/>
          <w:sz w:val="28"/>
          <w:szCs w:val="28"/>
        </w:rPr>
        <w:t xml:space="preserve">еализуемой программой. Данные книжки также пополняются педагогами в электронном виде через ЭМК. </w:t>
      </w:r>
    </w:p>
    <w:p w:rsidR="00B60E79" w:rsidRDefault="00FF223A" w:rsidP="009843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Информационное обеспечение Детского сада включает: информационно-телекоммуникационное оборудование – в 2023 году приобретены 3 ноутбука, программное обеспечение – позволяет работать с текстовыми редакторами,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интернет-ресурсами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фото-, видеоматериалами, графическими редакторами, пролонгирован договор на использование образовательной платформой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«Мобильное электронное образование»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программ, в том числе с учетом использования ресурсов ФГИС «Моя школа». В декабре 2023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первое полугодие 2024 года.</w:t>
      </w:r>
    </w:p>
    <w:p w:rsidR="0098438F" w:rsidRDefault="0098438F" w:rsidP="009843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sz w:val="28"/>
          <w:szCs w:val="28"/>
        </w:rPr>
      </w:pPr>
    </w:p>
    <w:p w:rsidR="00010981" w:rsidRDefault="00010981" w:rsidP="0098438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981" w:rsidRDefault="00010981" w:rsidP="0098438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0E79" w:rsidRPr="0098438F" w:rsidRDefault="00FF223A" w:rsidP="009843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VII. Оценка материально-технической базы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групповые помещения – 23;</w:t>
      </w:r>
    </w:p>
    <w:p w:rsidR="00B60E79" w:rsidRDefault="00FF223A" w:rsidP="008D4F98">
      <w:pPr>
        <w:spacing w:after="0" w:line="240" w:lineRule="auto"/>
        <w:ind w:firstLine="708"/>
        <w:jc w:val="both"/>
        <w:rPr>
          <w:bCs/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группа кратковременного пребывания «Мать и дитя» - 2;</w:t>
      </w:r>
    </w:p>
    <w:p w:rsidR="00B60E79" w:rsidRDefault="00FF223A" w:rsidP="008D4F98">
      <w:pPr>
        <w:spacing w:after="0" w:line="240" w:lineRule="auto"/>
        <w:ind w:firstLine="708"/>
        <w:jc w:val="both"/>
        <w:rPr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кабинет заведующего – 1;</w:t>
      </w:r>
    </w:p>
    <w:p w:rsidR="00B60E79" w:rsidRDefault="00FF223A" w:rsidP="008D4F98">
      <w:pPr>
        <w:spacing w:after="0" w:line="240" w:lineRule="auto"/>
        <w:ind w:firstLine="708"/>
        <w:jc w:val="both"/>
        <w:rPr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методический кабинет – 1;</w:t>
      </w:r>
    </w:p>
    <w:p w:rsidR="00B60E79" w:rsidRDefault="00FF223A" w:rsidP="008D4F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кабинет учителя - логопеда - 2;</w:t>
      </w:r>
    </w:p>
    <w:p w:rsidR="00B60E79" w:rsidRDefault="00FF223A" w:rsidP="008D4F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кабинет педагога – психолога - 2; </w:t>
      </w:r>
    </w:p>
    <w:p w:rsidR="00B60E79" w:rsidRDefault="00FF223A" w:rsidP="008D4F98">
      <w:pPr>
        <w:spacing w:after="0" w:line="240" w:lineRule="auto"/>
        <w:ind w:firstLine="708"/>
        <w:jc w:val="both"/>
        <w:rPr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музыкальный зал – 2;</w:t>
      </w:r>
    </w:p>
    <w:p w:rsidR="00B60E79" w:rsidRDefault="00FF223A" w:rsidP="008D4F98">
      <w:pPr>
        <w:spacing w:after="0" w:line="240" w:lineRule="auto"/>
        <w:ind w:firstLine="708"/>
        <w:jc w:val="both"/>
        <w:rPr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физкультурный зал – 1;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пищеблок – 3;</w:t>
      </w:r>
    </w:p>
    <w:p w:rsidR="00B60E79" w:rsidRDefault="00FF223A" w:rsidP="008D4F98">
      <w:pPr>
        <w:spacing w:after="0" w:line="240" w:lineRule="auto"/>
        <w:ind w:firstLine="708"/>
        <w:jc w:val="both"/>
        <w:rPr>
          <w:bCs/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медицинский кабинет – 3;</w:t>
      </w:r>
    </w:p>
    <w:p w:rsidR="00B60E79" w:rsidRDefault="00FF223A" w:rsidP="008D4F98">
      <w:pPr>
        <w:spacing w:after="0" w:line="240" w:lineRule="auto"/>
        <w:ind w:firstLine="708"/>
        <w:jc w:val="both"/>
        <w:rPr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бассейн - 1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2023 году приобретены материалы и оборудование:</w:t>
      </w:r>
    </w:p>
    <w:p w:rsidR="00B60E79" w:rsidRDefault="00FF223A" w:rsidP="008D4F98">
      <w:pPr>
        <w:pStyle w:val="af3"/>
        <w:numPr>
          <w:ilvl w:val="0"/>
          <w:numId w:val="7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детская игровая мебель;</w:t>
      </w:r>
    </w:p>
    <w:p w:rsidR="00B60E79" w:rsidRDefault="00FF223A" w:rsidP="008D4F98">
      <w:pPr>
        <w:pStyle w:val="af3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детские игрушки и спортивный инвентарь; </w:t>
      </w:r>
    </w:p>
    <w:p w:rsidR="00B60E79" w:rsidRDefault="00FF223A" w:rsidP="008D4F98">
      <w:pPr>
        <w:pStyle w:val="af3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детские кровати, стулья, столы;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–   </w:t>
      </w:r>
      <w:r w:rsidR="008D4F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мягкий инвентарь, хозяйственный инвентарь;</w:t>
      </w:r>
    </w:p>
    <w:p w:rsidR="00B60E79" w:rsidRDefault="008D4F98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F223A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FF223A">
        <w:rPr>
          <w:rFonts w:ascii="Times New Roman" w:eastAsia="Times New Roman" w:hAnsi="Times New Roman" w:cs="Times New Roman"/>
          <w:sz w:val="28"/>
          <w:szCs w:val="28"/>
        </w:rPr>
        <w:t>рециркуляторы</w:t>
      </w:r>
      <w:proofErr w:type="spellEnd"/>
      <w:r w:rsidR="00FF223A">
        <w:rPr>
          <w:rFonts w:ascii="Times New Roman" w:eastAsia="Times New Roman" w:hAnsi="Times New Roman" w:cs="Times New Roman"/>
          <w:sz w:val="28"/>
          <w:szCs w:val="28"/>
        </w:rPr>
        <w:t xml:space="preserve"> - 2 шт.; </w:t>
      </w:r>
    </w:p>
    <w:p w:rsidR="00B60E79" w:rsidRDefault="00FF223A" w:rsidP="008D4F98">
      <w:pPr>
        <w:pStyle w:val="af3"/>
        <w:numPr>
          <w:ilvl w:val="0"/>
          <w:numId w:val="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водонагреватели - 3 шт.;</w:t>
      </w:r>
    </w:p>
    <w:p w:rsidR="00A562BE" w:rsidRPr="00A562BE" w:rsidRDefault="008D4F98" w:rsidP="00A562BE">
      <w:pPr>
        <w:pStyle w:val="af3"/>
        <w:numPr>
          <w:ilvl w:val="0"/>
          <w:numId w:val="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ноутбуки - 3 шт., планшеты - 2 шт., мультимедийный проектор, экран настенный и оргтехника, прочее оборудование</w:t>
      </w:r>
    </w:p>
    <w:p w:rsidR="00B60E79" w:rsidRPr="00A562BE" w:rsidRDefault="00FF223A" w:rsidP="00A562BE">
      <w:pPr>
        <w:pStyle w:val="af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плана-графика проведения мониторинга инфраструктуры Детского сада, утвержденного приказом заведующего от 28.03.2023 № 353, была проведена первичная оценка степени соответствия РППС Детского сада требованиям ФГОС и ФОП ДО и рекомендациям </w:t>
      </w:r>
      <w:proofErr w:type="spellStart"/>
      <w:r w:rsidRPr="00A562BE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A562BE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направленным в письме от 13.02.2023 № ТВ-413/03. По итогам выявлено: РППС учитывает особенности реализуемой ОП ДО. В каждой возрастной группе имеются современные развивающие пособия и игрушки. В каждой возрастной группе РППС обладает свойствами открытой системы и выполняет образовательную, развивающую, воспитывающую, стимулирующую функции. В декабре 2023 года проведен повторный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 Тем не менее подготовлена дорожная карта по пополнению РППС новым игровым материалом, средствами ЦОС.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корпусе по адресу ул. Строителей,1</w:t>
      </w:r>
      <w:r w:rsidR="00A562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выполнен текущий ремонт музыкального зала,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 кратковременного пребывания «Мать и дитя».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прогулочном участке группы № 10 установлен МАФ «Песочница».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корпусе по адресу ул. Маяковского,</w:t>
      </w:r>
      <w:r w:rsidR="00A562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 текущий ремонт группы № 19. На прогулочном участке группы № 19 установлен МАФ «Песочница».</w:t>
      </w:r>
    </w:p>
    <w:p w:rsidR="00B60E79" w:rsidRDefault="00FF223A" w:rsidP="008D4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корпусе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адресу ул. Маяковского, 46б, выполнен косметический ремонт группы кратковременного пребывания «Мать и дитя».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безопасности жизни и здоровья воспитанников МАДОУ «Детский сад № 120» г. Перми оснащено системой АПС и ОПС, КТС (переносной и стационарной),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круглосуточными видеонаблюдением и охраной. В здании детского сада в дневное время дежурит сотрудник ЧОП. Входные группы здания и территории оборудованы домофонами, в корпусе по адресу ул. Строителей,14 установлен видеодомофон на входную калитку. По периметру и внутри здания установлены камеры видеонаблюдения, частично проводится замена видеокамер.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B60E79" w:rsidRDefault="00FF223A" w:rsidP="00A5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В 2024 году необходимо продолжить модернизацию цифрового обучающего оборудования и программного обеспечения, определить источники финансирования закупки. </w:t>
      </w:r>
    </w:p>
    <w:p w:rsidR="00B60E79" w:rsidRDefault="00B60E79" w:rsidP="00A562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2BE" w:rsidRDefault="00FF223A" w:rsidP="00A56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VIII. Оценка функционирования </w:t>
      </w:r>
    </w:p>
    <w:p w:rsidR="00B60E79" w:rsidRDefault="00FF223A" w:rsidP="00A562BE">
      <w:pPr>
        <w:spacing w:after="24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внутренней системы оценки качества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образования</w:t>
      </w:r>
    </w:p>
    <w:p w:rsidR="00B60E79" w:rsidRDefault="00FF223A" w:rsidP="00A562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Детском саду утверждено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r:id="rId18" w:anchor="/document/118/49757/" w:tooltip="https://vip.1obraz.ru/#/document/118/49757/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положение о внутренней системе оценки качества образования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Мониторинг качества образовательной деятельности в 2023 году показал хорошую работу педагогического коллектива.  </w:t>
      </w:r>
    </w:p>
    <w:p w:rsidR="00B60E79" w:rsidRDefault="00FF223A" w:rsidP="00A562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Состояние здоровья и физического развития воспитанников удовлетворительные. 97% детей успешно освоили образовательную программу дошкольного образования в своей возрастной группе. 3% детей продолжили получать дошкольное образование в ДОУ.        </w:t>
      </w:r>
    </w:p>
    <w:p w:rsidR="00B60E79" w:rsidRDefault="00FF223A" w:rsidP="00A562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Воспитанники подготовительных групп показали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удовлетворительные  показатели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 удовлетворенности родителей (законных представителей) оказываемыми в ДОУ услугами был проведен на основе сравнения ответов родителей в конце 2022 года и конце 2023 года. При примерно равном количестве участников анкетирования, респонденты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 2023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более положительно оценили те же самые позиции. 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Средний процент удовлетворенности по всем позициям в 2023 году 92%, в 2022 году - 90,5%. 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Проблемными остаются – оснащенность ДОУ, его оценивали в конце 2022 года положительно 86% респондентов, в 2023 году - 88 %. Так же недостаточно высоко оценивают родители оснащение техническим оборудованием - менее 70%. Высоко оценивают профессионализм педагогов, отношение педагогов к детям - 94,1% в 2023 (было в 2022 году - 94%).</w:t>
      </w:r>
    </w:p>
    <w:p w:rsidR="00B60E79" w:rsidRPr="00010981" w:rsidRDefault="00B60E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B60E79" w:rsidRDefault="00FF223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Диаграмма 7. Сравнительный анализ удовлетворенности родителей 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95250</wp:posOffset>
            </wp:positionV>
            <wp:extent cx="6112510" cy="3285490"/>
            <wp:effectExtent l="4762" t="4762" r="4762" b="4762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анализа показателей деятельности организации</w:t>
      </w:r>
    </w:p>
    <w:p w:rsidR="00B60E79" w:rsidRDefault="00FF22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приведены по состоянию на 31.12.2023.</w:t>
      </w:r>
    </w:p>
    <w:p w:rsidR="00A562BE" w:rsidRPr="00A562BE" w:rsidRDefault="00A56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8"/>
        </w:rPr>
      </w:pPr>
    </w:p>
    <w:tbl>
      <w:tblPr>
        <w:tblStyle w:val="StGen7"/>
        <w:tblW w:w="9714" w:type="dxa"/>
        <w:tblInd w:w="-83" w:type="dxa"/>
        <w:tblLayout w:type="fixed"/>
        <w:tblLook w:val="04A0" w:firstRow="1" w:lastRow="0" w:firstColumn="1" w:lastColumn="0" w:noHBand="0" w:noVBand="1"/>
      </w:tblPr>
      <w:tblGrid>
        <w:gridCol w:w="1209"/>
        <w:gridCol w:w="5812"/>
        <w:gridCol w:w="2693"/>
      </w:tblGrid>
      <w:tr w:rsidR="00B60E79" w:rsidTr="00A562BE">
        <w:trPr>
          <w:trHeight w:val="405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B60E7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813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781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 человека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188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625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813 человек/100%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781 человек/96%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человек/12%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человек/12%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человек/12%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813 человек/100%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дней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 человек/40%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человек/33%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 человек/60%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 человек/60%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 человек/79%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человек/29%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 человек/50%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B60E79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человек/14%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человек/26%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человека/7%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человек/21%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 человек/100%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 человек/100%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человек/14 человек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B60E7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B60E7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4,3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.м 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454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60E79" w:rsidTr="00A562BE"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B60E79" w:rsidRDefault="00FF223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B60E79" w:rsidRDefault="00FF223A" w:rsidP="000109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Сравнительный анализ показателей деятельности ДОУ:  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2023 г. контингент воспитанников, осваивающих образовательную программу до</w:t>
      </w:r>
      <w:r w:rsidR="00010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школьного образования в режиме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полного дня,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уменьшился  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4 % в связи с демографией;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общая численность воспитанников в возрасте до 3 лет выросла на 15% (было 163 стало 188) в связи с открытием группы для детей раннего возраста в корпусе по ул. Строителей,</w:t>
      </w:r>
      <w:r w:rsidR="00010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61% увеличилась численность воспитанников с ограниченными возможностями здоровья, в связи с ранним выявлением -  с 2-х летнего возраста проблем в развитии и организацией коррекционной работы с воспитанниками с ОВЗ;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средний показатель пропущенных дней при посещении дошкольной образовательной организации по болезни на одного воспитанника остался на прежнем уровне -  до 9 дней;</w:t>
      </w:r>
    </w:p>
    <w:p w:rsidR="00B60E79" w:rsidRDefault="00FF223A" w:rsidP="00A562B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 численность педагогов, имеющих высшее образование по профилю увеличилось</w:t>
      </w:r>
      <w:r w:rsidR="00010981">
        <w:rPr>
          <w:rFonts w:ascii="Times New Roman" w:eastAsia="Times New Roman" w:hAnsi="Times New Roman" w:cs="Times New Roman"/>
          <w:sz w:val="28"/>
          <w:szCs w:val="28"/>
        </w:rPr>
        <w:t xml:space="preserve"> с 17 человек до 19 человек (на </w:t>
      </w:r>
      <w:r>
        <w:rPr>
          <w:rFonts w:ascii="Times New Roman" w:eastAsia="Times New Roman" w:hAnsi="Times New Roman" w:cs="Times New Roman"/>
          <w:sz w:val="28"/>
          <w:szCs w:val="28"/>
        </w:rPr>
        <w:t>8%), в связи с приемом двух педагогов.</w:t>
      </w:r>
    </w:p>
    <w:p w:rsidR="00B60E79" w:rsidRDefault="00FF223A" w:rsidP="00A56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численность педагогов, имеющих среднее профессиональное образование по профилю увеличилось с 33 человек в 2022 году до 35 человек в 2023 (+ 2%), в связи с приемом на работу двух педагогов.</w:t>
      </w:r>
    </w:p>
    <w:p w:rsidR="00B60E79" w:rsidRDefault="00FF223A" w:rsidP="00A56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численность педагогических работников, которым по результатам аттестации присвоена квалификационная категория увеличилось с 40 человек в 2022 году до 46 человек в 2023 году (+9%), в связи с хорошей подготовкой педагогов к аттестации;</w:t>
      </w:r>
    </w:p>
    <w:p w:rsidR="00B60E79" w:rsidRDefault="00FF223A" w:rsidP="00A56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численность педагогических работников, которым по результатам аттестации присвоена высшая квалификационная категория увеличилось с 14 человек в 2022 году до 17 человек в 2023 году (+4%);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численность педагогических работников, которым по результатам аттестации присвоена первая квалификационная категория увеличилось с 26 человек в 2022 году до 29 человек в 2023 году (+5%);</w:t>
      </w:r>
    </w:p>
    <w:p w:rsidR="00B60E79" w:rsidRDefault="00FF223A" w:rsidP="00A56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количество педагогических работников, имеющих стаж педагогической работы до 5 лет уменьшилось с 10 человек до 8 человек ( -4%), из-за отсутствия вакансий и притока молодых специалистов;</w:t>
      </w:r>
    </w:p>
    <w:p w:rsidR="00B60E79" w:rsidRDefault="00FF223A" w:rsidP="00A56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общая площадь помещений, в которых осуществляется образовательная деятельность, в расчете на одного воспитанника увеличилась с 4,2 кв. м до 4,3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+2%), в связи с уменьшением контингента воспитанников;  </w:t>
      </w:r>
    </w:p>
    <w:p w:rsidR="00B60E79" w:rsidRDefault="00A562BE" w:rsidP="00A562BE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FF223A">
        <w:rPr>
          <w:rFonts w:ascii="Times New Roman" w:eastAsia="Times New Roman" w:hAnsi="Times New Roman" w:cs="Times New Roman"/>
          <w:color w:val="000000"/>
          <w:sz w:val="28"/>
          <w:szCs w:val="28"/>
        </w:rPr>
        <w:t>- на прогулочных площадках, обеспечивающих физическую активность и разнообразную игровую деятельность воспитанников на прогулке, обновлено и отремонтировано оборудование.</w:t>
      </w:r>
    </w:p>
    <w:p w:rsidR="00B60E79" w:rsidRDefault="00FF223A" w:rsidP="00A562BE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2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показателей указывает на то, что Детский сад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ДО, ФОП ДО, ФАОП ДО.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B60E79" w:rsidSect="00946C11">
      <w:headerReference w:type="default" r:id="rId20"/>
      <w:pgSz w:w="11907" w:h="16840"/>
      <w:pgMar w:top="142" w:right="851" w:bottom="1134" w:left="1418" w:header="720" w:footer="720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237" w:rsidRDefault="00A05237">
      <w:pPr>
        <w:spacing w:line="240" w:lineRule="auto"/>
      </w:pPr>
      <w:r>
        <w:separator/>
      </w:r>
    </w:p>
  </w:endnote>
  <w:endnote w:type="continuationSeparator" w:id="0">
    <w:p w:rsidR="00A05237" w:rsidRDefault="00A052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san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237" w:rsidRDefault="00A05237">
      <w:pPr>
        <w:spacing w:after="0"/>
      </w:pPr>
      <w:r>
        <w:separator/>
      </w:r>
    </w:p>
  </w:footnote>
  <w:footnote w:type="continuationSeparator" w:id="0">
    <w:p w:rsidR="00A05237" w:rsidRDefault="00A052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933488"/>
      <w:docPartObj>
        <w:docPartGallery w:val="Page Numbers (Top of Page)"/>
        <w:docPartUnique/>
      </w:docPartObj>
    </w:sdtPr>
    <w:sdtEndPr/>
    <w:sdtContent>
      <w:p w:rsidR="00D95E45" w:rsidRDefault="00D95E4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C11">
          <w:rPr>
            <w:noProof/>
          </w:rPr>
          <w:t>21</w:t>
        </w:r>
        <w:r>
          <w:fldChar w:fldCharType="end"/>
        </w:r>
      </w:p>
    </w:sdtContent>
  </w:sdt>
  <w:p w:rsidR="00D95E45" w:rsidRDefault="00D95E4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9341B"/>
    <w:multiLevelType w:val="multilevel"/>
    <w:tmpl w:val="3768F994"/>
    <w:lvl w:ilvl="0">
      <w:start w:val="1"/>
      <w:numFmt w:val="bullet"/>
      <w:lvlText w:val="–"/>
      <w:lvlJc w:val="left"/>
      <w:pPr>
        <w:ind w:left="1417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CF092B84"/>
    <w:multiLevelType w:val="multilevel"/>
    <w:tmpl w:val="CF092B8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248C179"/>
    <w:multiLevelType w:val="multilevel"/>
    <w:tmpl w:val="88BAC31A"/>
    <w:lvl w:ilvl="0">
      <w:start w:val="1"/>
      <w:numFmt w:val="bullet"/>
      <w:lvlText w:val="–"/>
      <w:lvlJc w:val="left"/>
      <w:pPr>
        <w:ind w:left="1417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03D62ECE"/>
    <w:multiLevelType w:val="multilevel"/>
    <w:tmpl w:val="03D62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B654F3"/>
    <w:multiLevelType w:val="multilevel"/>
    <w:tmpl w:val="25B654F3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2183CF9"/>
    <w:multiLevelType w:val="multilevel"/>
    <w:tmpl w:val="B47A251E"/>
    <w:lvl w:ilvl="0">
      <w:start w:val="1"/>
      <w:numFmt w:val="bullet"/>
      <w:lvlText w:val="–"/>
      <w:lvlJc w:val="left"/>
      <w:pPr>
        <w:ind w:left="1211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651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371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811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531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971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79"/>
    <w:rsid w:val="00010981"/>
    <w:rsid w:val="00045E65"/>
    <w:rsid w:val="000C7BFE"/>
    <w:rsid w:val="001678A2"/>
    <w:rsid w:val="00181BF9"/>
    <w:rsid w:val="00344CA9"/>
    <w:rsid w:val="00371D26"/>
    <w:rsid w:val="00386520"/>
    <w:rsid w:val="003C103D"/>
    <w:rsid w:val="003D23F4"/>
    <w:rsid w:val="006200CC"/>
    <w:rsid w:val="0062118D"/>
    <w:rsid w:val="00745214"/>
    <w:rsid w:val="007A11D0"/>
    <w:rsid w:val="007B094A"/>
    <w:rsid w:val="008D4F98"/>
    <w:rsid w:val="008F37B8"/>
    <w:rsid w:val="00946C11"/>
    <w:rsid w:val="0098438F"/>
    <w:rsid w:val="00A05237"/>
    <w:rsid w:val="00A562BE"/>
    <w:rsid w:val="00B11D0E"/>
    <w:rsid w:val="00B60E79"/>
    <w:rsid w:val="00CA3629"/>
    <w:rsid w:val="00D003A0"/>
    <w:rsid w:val="00D14322"/>
    <w:rsid w:val="00D63A5F"/>
    <w:rsid w:val="00D674D3"/>
    <w:rsid w:val="00D67B9B"/>
    <w:rsid w:val="00D94462"/>
    <w:rsid w:val="00D95E45"/>
    <w:rsid w:val="00F04505"/>
    <w:rsid w:val="00F87A15"/>
    <w:rsid w:val="00FF223A"/>
    <w:rsid w:val="3BAF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D84F5D1-6B64-44A3-96BE-B812B779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zh-CN"/>
    </w:rPr>
  </w:style>
  <w:style w:type="paragraph" w:styleId="1">
    <w:name w:val="heading 1"/>
    <w:basedOn w:val="a"/>
    <w:next w:val="a"/>
    <w:qFormat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CDB"/>
      <w:spacing w:before="480" w:after="100" w:line="269" w:lineRule="auto"/>
      <w:outlineLvl w:val="0"/>
    </w:pPr>
    <w:rPr>
      <w:rFonts w:ascii="Cambria" w:eastAsia="Cambria" w:hAnsi="Cambria" w:cs="Cambria"/>
      <w:b/>
      <w:color w:val="622423"/>
    </w:rPr>
  </w:style>
  <w:style w:type="paragraph" w:styleId="2">
    <w:name w:val="heading 2"/>
    <w:basedOn w:val="a"/>
    <w:next w:val="a"/>
    <w:qFormat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outlineLvl w:val="1"/>
    </w:pPr>
    <w:rPr>
      <w:rFonts w:ascii="Cambria" w:eastAsia="Cambria" w:hAnsi="Cambria" w:cs="Cambria"/>
      <w:b/>
      <w:color w:val="943734"/>
    </w:rPr>
  </w:style>
  <w:style w:type="paragraph" w:styleId="3">
    <w:name w:val="heading 3"/>
    <w:basedOn w:val="a"/>
    <w:next w:val="a"/>
    <w:qFormat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outlineLvl w:val="2"/>
    </w:pPr>
    <w:rPr>
      <w:rFonts w:ascii="Cambria" w:eastAsia="Cambria" w:hAnsi="Cambria" w:cs="Cambria"/>
      <w:b/>
      <w:color w:val="943734"/>
    </w:rPr>
  </w:style>
  <w:style w:type="paragraph" w:styleId="4">
    <w:name w:val="heading 4"/>
    <w:basedOn w:val="a"/>
    <w:next w:val="a"/>
    <w:qFormat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outlineLvl w:val="3"/>
    </w:pPr>
    <w:rPr>
      <w:rFonts w:ascii="Cambria" w:eastAsia="Cambria" w:hAnsi="Cambria" w:cs="Cambria"/>
      <w:b/>
      <w:color w:val="943734"/>
    </w:rPr>
  </w:style>
  <w:style w:type="paragraph" w:styleId="5">
    <w:name w:val="heading 5"/>
    <w:basedOn w:val="a"/>
    <w:next w:val="a"/>
    <w:qFormat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outlineLvl w:val="4"/>
    </w:pPr>
    <w:rPr>
      <w:rFonts w:ascii="Cambria" w:eastAsia="Cambria" w:hAnsi="Cambria" w:cs="Cambria"/>
      <w:b/>
      <w:color w:val="943734"/>
    </w:rPr>
  </w:style>
  <w:style w:type="paragraph" w:styleId="6">
    <w:name w:val="heading 6"/>
    <w:basedOn w:val="a"/>
    <w:next w:val="a"/>
    <w:qFormat/>
    <w:pPr>
      <w:pBdr>
        <w:bottom w:val="single" w:sz="4" w:space="2" w:color="E5B9B7"/>
      </w:pBdr>
      <w:spacing w:before="200" w:after="100" w:line="240" w:lineRule="auto"/>
      <w:outlineLvl w:val="5"/>
    </w:pPr>
    <w:rPr>
      <w:rFonts w:ascii="Cambria" w:eastAsia="Cambria" w:hAnsi="Cambria" w:cs="Cambria"/>
      <w:color w:val="94373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endnote reference"/>
    <w:uiPriority w:val="99"/>
    <w:semiHidden/>
    <w:unhideWhenUsed/>
    <w:qFormat/>
    <w:rPr>
      <w:vertAlign w:val="superscript"/>
    </w:rPr>
  </w:style>
  <w:style w:type="character" w:styleId="a5">
    <w:name w:val="Hyperlink"/>
    <w:uiPriority w:val="99"/>
    <w:unhideWhenUsed/>
    <w:qFormat/>
    <w:rPr>
      <w:color w:val="8E58B6" w:themeColor="hyperlink"/>
      <w:u w:val="single"/>
    </w:rPr>
  </w:style>
  <w:style w:type="paragraph" w:styleId="a6">
    <w:name w:val="endnote text"/>
    <w:basedOn w:val="a"/>
    <w:link w:val="a7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A5B592" w:themeColor="accent1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qFormat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10">
    <w:name w:val="toc 1"/>
    <w:basedOn w:val="a"/>
    <w:next w:val="a"/>
    <w:uiPriority w:val="39"/>
    <w:unhideWhenUsed/>
    <w:qFormat/>
    <w:pPr>
      <w:spacing w:after="57"/>
    </w:pPr>
  </w:style>
  <w:style w:type="paragraph" w:styleId="60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ad">
    <w:name w:val="table of figures"/>
    <w:basedOn w:val="a"/>
    <w:next w:val="a"/>
    <w:uiPriority w:val="99"/>
    <w:unhideWhenUsed/>
    <w:qFormat/>
    <w:pPr>
      <w:spacing w:after="0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0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e">
    <w:name w:val="Title"/>
    <w:basedOn w:val="a"/>
    <w:next w:val="a"/>
    <w:qFormat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Cambria" w:hAnsi="Cambria" w:cs="Cambria"/>
      <w:color w:val="FFFFFF"/>
      <w:sz w:val="48"/>
      <w:szCs w:val="48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paragraph" w:styleId="af1">
    <w:name w:val="Subtitle"/>
    <w:basedOn w:val="a"/>
    <w:next w:val="a"/>
    <w:qFormat/>
    <w:pPr>
      <w:pBdr>
        <w:bottom w:val="single" w:sz="8" w:space="10" w:color="C0504D"/>
      </w:pBdr>
      <w:spacing w:before="200" w:after="900" w:line="240" w:lineRule="auto"/>
      <w:jc w:val="center"/>
    </w:pPr>
    <w:rPr>
      <w:rFonts w:ascii="Cambria" w:eastAsia="Cambria" w:hAnsi="Cambria" w:cs="Cambria"/>
      <w:color w:val="622423"/>
      <w:sz w:val="24"/>
      <w:szCs w:val="24"/>
    </w:rPr>
  </w:style>
  <w:style w:type="table" w:styleId="af2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No Spacing"/>
    <w:uiPriority w:val="1"/>
    <w:qFormat/>
    <w:rPr>
      <w:sz w:val="22"/>
      <w:szCs w:val="22"/>
      <w:lang w:eastAsia="zh-CN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f5">
    <w:name w:val="Intense Quote"/>
    <w:basedOn w:val="a"/>
    <w:next w:val="a"/>
    <w:link w:val="af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6">
    <w:name w:val="Выделенная цитата Знак"/>
    <w:link w:val="af5"/>
    <w:uiPriority w:val="30"/>
    <w:qFormat/>
    <w:rPr>
      <w:i/>
    </w:rPr>
  </w:style>
  <w:style w:type="character" w:customStyle="1" w:styleId="ac">
    <w:name w:val="Верхний колонтитул Знак"/>
    <w:link w:val="ab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af0">
    <w:name w:val="Нижний колонтитул Знак"/>
    <w:link w:val="af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DAE1D2" w:themeColor="accent1" w:themeTint="67"/>
        <w:left w:val="single" w:sz="4" w:space="0" w:color="DAE1D2" w:themeColor="accent1" w:themeTint="67"/>
        <w:bottom w:val="single" w:sz="4" w:space="0" w:color="DAE1D2" w:themeColor="accent1" w:themeTint="67"/>
        <w:right w:val="single" w:sz="4" w:space="0" w:color="DAE1D2" w:themeColor="accent1" w:themeTint="67"/>
        <w:insideH w:val="single" w:sz="4" w:space="0" w:color="DAE1D2" w:themeColor="accent1" w:themeTint="67"/>
        <w:insideV w:val="single" w:sz="4" w:space="0" w:color="DAE1D2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D3BF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E1D2" w:themeColor="accent1" w:themeTint="67"/>
          <w:left w:val="single" w:sz="4" w:space="0" w:color="DAE1D2" w:themeColor="accent1" w:themeTint="67"/>
          <w:bottom w:val="single" w:sz="4" w:space="0" w:color="DAE1D2" w:themeColor="accent1" w:themeTint="67"/>
          <w:right w:val="single" w:sz="4" w:space="0" w:color="DAE1D2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FAD9B4" w:themeColor="accent2" w:themeTint="67"/>
        <w:left w:val="single" w:sz="4" w:space="0" w:color="FAD9B4" w:themeColor="accent2" w:themeTint="67"/>
        <w:bottom w:val="single" w:sz="4" w:space="0" w:color="FAD9B4" w:themeColor="accent2" w:themeTint="67"/>
        <w:right w:val="single" w:sz="4" w:space="0" w:color="FAD9B4" w:themeColor="accent2" w:themeTint="67"/>
        <w:insideH w:val="single" w:sz="4" w:space="0" w:color="FAD9B4" w:themeColor="accent2" w:themeTint="67"/>
        <w:insideV w:val="single" w:sz="4" w:space="0" w:color="FAD9B4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8C993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D9B4" w:themeColor="accent2" w:themeTint="67"/>
          <w:left w:val="single" w:sz="4" w:space="0" w:color="FAD9B4" w:themeColor="accent2" w:themeTint="67"/>
          <w:bottom w:val="single" w:sz="4" w:space="0" w:color="FAD9B4" w:themeColor="accent2" w:themeTint="67"/>
          <w:right w:val="single" w:sz="4" w:space="0" w:color="FAD9B4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F5E3A8" w:themeColor="accent3" w:themeTint="67"/>
        <w:left w:val="single" w:sz="4" w:space="0" w:color="F5E3A8" w:themeColor="accent3" w:themeTint="67"/>
        <w:bottom w:val="single" w:sz="4" w:space="0" w:color="F5E3A8" w:themeColor="accent3" w:themeTint="67"/>
        <w:right w:val="single" w:sz="4" w:space="0" w:color="F5E3A8" w:themeColor="accent3" w:themeTint="67"/>
        <w:insideH w:val="single" w:sz="4" w:space="0" w:color="F5E3A8" w:themeColor="accent3" w:themeTint="67"/>
        <w:insideV w:val="single" w:sz="4" w:space="0" w:color="F5E3A8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1D781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E3A8" w:themeColor="accent3" w:themeTint="67"/>
          <w:left w:val="single" w:sz="4" w:space="0" w:color="F5E3A8" w:themeColor="accent3" w:themeTint="67"/>
          <w:bottom w:val="single" w:sz="4" w:space="0" w:color="F5E3A8" w:themeColor="accent3" w:themeTint="67"/>
          <w:right w:val="single" w:sz="4" w:space="0" w:color="F5E3A8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ECD2DB" w:themeColor="accent4" w:themeTint="67"/>
        <w:left w:val="single" w:sz="4" w:space="0" w:color="ECD2DB" w:themeColor="accent4" w:themeTint="67"/>
        <w:bottom w:val="single" w:sz="4" w:space="0" w:color="ECD2DB" w:themeColor="accent4" w:themeTint="67"/>
        <w:right w:val="single" w:sz="4" w:space="0" w:color="ECD2DB" w:themeColor="accent4" w:themeTint="67"/>
        <w:insideH w:val="single" w:sz="4" w:space="0" w:color="ECD2DB" w:themeColor="accent4" w:themeTint="67"/>
        <w:insideV w:val="single" w:sz="4" w:space="0" w:color="ECD2DB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3BFCB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D2DB" w:themeColor="accent4" w:themeTint="67"/>
          <w:left w:val="single" w:sz="4" w:space="0" w:color="ECD2DB" w:themeColor="accent4" w:themeTint="67"/>
          <w:bottom w:val="single" w:sz="4" w:space="0" w:color="ECD2DB" w:themeColor="accent4" w:themeTint="67"/>
          <w:right w:val="single" w:sz="4" w:space="0" w:color="ECD2DB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D6CDE5" w:themeColor="accent5" w:themeTint="67"/>
        <w:left w:val="single" w:sz="4" w:space="0" w:color="D6CDE5" w:themeColor="accent5" w:themeTint="67"/>
        <w:bottom w:val="single" w:sz="4" w:space="0" w:color="D6CDE5" w:themeColor="accent5" w:themeTint="67"/>
        <w:right w:val="single" w:sz="4" w:space="0" w:color="D6CDE5" w:themeColor="accent5" w:themeTint="67"/>
        <w:insideH w:val="single" w:sz="4" w:space="0" w:color="D6CDE5" w:themeColor="accent5" w:themeTint="67"/>
        <w:insideV w:val="single" w:sz="4" w:space="0" w:color="D6CDE5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B7DA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CDE5" w:themeColor="accent5" w:themeTint="67"/>
          <w:left w:val="single" w:sz="4" w:space="0" w:color="D6CDE5" w:themeColor="accent5" w:themeTint="67"/>
          <w:bottom w:val="single" w:sz="4" w:space="0" w:color="D6CDE5" w:themeColor="accent5" w:themeTint="67"/>
          <w:right w:val="single" w:sz="4" w:space="0" w:color="D6CDE5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CBD7E6" w:themeColor="accent6" w:themeTint="67"/>
        <w:left w:val="single" w:sz="4" w:space="0" w:color="CBD7E6" w:themeColor="accent6" w:themeTint="67"/>
        <w:bottom w:val="single" w:sz="4" w:space="0" w:color="CBD7E6" w:themeColor="accent6" w:themeTint="67"/>
        <w:right w:val="single" w:sz="4" w:space="0" w:color="CBD7E6" w:themeColor="accent6" w:themeTint="67"/>
        <w:insideH w:val="single" w:sz="4" w:space="0" w:color="CBD7E6" w:themeColor="accent6" w:themeTint="67"/>
        <w:insideV w:val="single" w:sz="4" w:space="0" w:color="CBD7E6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C6D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D7E6" w:themeColor="accent6" w:themeTint="67"/>
          <w:left w:val="single" w:sz="4" w:space="0" w:color="CBD7E6" w:themeColor="accent6" w:themeTint="67"/>
          <w:bottom w:val="single" w:sz="4" w:space="0" w:color="CBD7E6" w:themeColor="accent6" w:themeTint="67"/>
          <w:right w:val="single" w:sz="4" w:space="0" w:color="CBD7E6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ACBB9A" w:themeColor="accent1" w:themeTint="EA"/>
        <w:insideH w:val="single" w:sz="4" w:space="0" w:color="ACBB9A" w:themeColor="accent1" w:themeTint="EA"/>
        <w:insideV w:val="single" w:sz="4" w:space="0" w:color="ACBB9A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CBB9A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CBB9A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F0E8" w:themeColor="accent1" w:themeTint="34" w:fill="ECF0E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F0E8" w:themeColor="accent1" w:themeTint="34" w:fill="ECF0E8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F8C891" w:themeColor="accent2" w:themeTint="97"/>
        <w:insideH w:val="single" w:sz="4" w:space="0" w:color="F8C891" w:themeColor="accent2" w:themeTint="97"/>
        <w:insideV w:val="single" w:sz="4" w:space="0" w:color="F8C891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8C891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8C891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E7BC29" w:themeColor="accent3" w:themeTint="FE"/>
        <w:insideH w:val="single" w:sz="4" w:space="0" w:color="E7BC29" w:themeColor="accent3" w:themeTint="FE"/>
        <w:insideV w:val="single" w:sz="4" w:space="0" w:color="E7BC29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E7BC2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7BC2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E2BDC9" w:themeColor="accent4" w:themeTint="9A"/>
        <w:insideH w:val="single" w:sz="4" w:space="0" w:color="E2BDC9" w:themeColor="accent4" w:themeTint="9A"/>
        <w:insideV w:val="single" w:sz="4" w:space="0" w:color="E2BDC9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E2BDC9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2BDC9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9C85C0" w:themeColor="accent5"/>
        <w:insideH w:val="single" w:sz="4" w:space="0" w:color="9C85C0" w:themeColor="accent5"/>
        <w:insideV w:val="single" w:sz="4" w:space="0" w:color="9C85C0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C85C0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C85C0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809EC2" w:themeColor="accent6"/>
        <w:insideH w:val="single" w:sz="4" w:space="0" w:color="809EC2" w:themeColor="accent6"/>
        <w:insideV w:val="single" w:sz="4" w:space="0" w:color="809EC2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809EC2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9EC2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ACBB9A" w:themeColor="accent1" w:themeTint="EA"/>
        <w:insideH w:val="single" w:sz="4" w:space="0" w:color="ACBB9A" w:themeColor="accent1" w:themeTint="EA"/>
        <w:insideV w:val="single" w:sz="4" w:space="0" w:color="ACBB9A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F0E8" w:themeColor="accent1" w:themeTint="34" w:fill="ECF0E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F0E8" w:themeColor="accent1" w:themeTint="34" w:fill="ECF0E8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F8C891" w:themeColor="accent2" w:themeTint="97"/>
        <w:insideH w:val="single" w:sz="4" w:space="0" w:color="F8C891" w:themeColor="accent2" w:themeTint="97"/>
        <w:insideV w:val="single" w:sz="4" w:space="0" w:color="F8C891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E7BC29" w:themeColor="accent3" w:themeTint="FE"/>
        <w:insideH w:val="single" w:sz="4" w:space="0" w:color="E7BC29" w:themeColor="accent3" w:themeTint="FE"/>
        <w:insideV w:val="single" w:sz="4" w:space="0" w:color="E7BC29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E2BDC9" w:themeColor="accent4" w:themeTint="9A"/>
        <w:insideH w:val="single" w:sz="4" w:space="0" w:color="E2BDC9" w:themeColor="accent4" w:themeTint="9A"/>
        <w:insideV w:val="single" w:sz="4" w:space="0" w:color="E2BDC9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9C85C0" w:themeColor="accent5"/>
        <w:insideH w:val="single" w:sz="4" w:space="0" w:color="9C85C0" w:themeColor="accent5"/>
        <w:insideV w:val="single" w:sz="4" w:space="0" w:color="9C85C0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809EC2" w:themeColor="accent6"/>
        <w:insideH w:val="single" w:sz="4" w:space="0" w:color="809EC2" w:themeColor="accent6"/>
        <w:insideV w:val="single" w:sz="4" w:space="0" w:color="809EC2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CBD5C1" w:themeColor="accent1" w:themeTint="90"/>
        <w:left w:val="single" w:sz="4" w:space="0" w:color="CBD5C1" w:themeColor="accent1" w:themeTint="90"/>
        <w:bottom w:val="single" w:sz="4" w:space="0" w:color="CBD5C1" w:themeColor="accent1" w:themeTint="90"/>
        <w:right w:val="single" w:sz="4" w:space="0" w:color="CBD5C1" w:themeColor="accent1" w:themeTint="90"/>
        <w:insideH w:val="single" w:sz="4" w:space="0" w:color="CBD5C1" w:themeColor="accent1" w:themeTint="90"/>
        <w:insideV w:val="single" w:sz="4" w:space="0" w:color="CBD5C1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CBB9A" w:themeColor="accent1" w:themeTint="EA"/>
          <w:left w:val="single" w:sz="4" w:space="0" w:color="ACBB9A" w:themeColor="accent1" w:themeTint="EA"/>
          <w:bottom w:val="single" w:sz="4" w:space="0" w:color="ACBB9A" w:themeColor="accent1" w:themeTint="EA"/>
          <w:right w:val="single" w:sz="4" w:space="0" w:color="ACBB9A" w:themeColor="accent1" w:themeTint="EA"/>
        </w:tcBorders>
        <w:shd w:val="clear" w:color="ACBB9A" w:themeColor="accent1" w:themeTint="EA" w:fill="ACBB9A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ACBB9A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0E9" w:themeColor="accent1" w:themeTint="32" w:fill="EDF0E9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0E9" w:themeColor="accent1" w:themeTint="32" w:fill="EDF0E9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F8CB96" w:themeColor="accent2" w:themeTint="90"/>
        <w:left w:val="single" w:sz="4" w:space="0" w:color="F8CB96" w:themeColor="accent2" w:themeTint="90"/>
        <w:bottom w:val="single" w:sz="4" w:space="0" w:color="F8CB96" w:themeColor="accent2" w:themeTint="90"/>
        <w:right w:val="single" w:sz="4" w:space="0" w:color="F8CB96" w:themeColor="accent2" w:themeTint="90"/>
        <w:insideH w:val="single" w:sz="4" w:space="0" w:color="F8CB96" w:themeColor="accent2" w:themeTint="90"/>
        <w:insideV w:val="single" w:sz="4" w:space="0" w:color="F8CB96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8C891" w:themeColor="accent2" w:themeTint="97"/>
          <w:left w:val="single" w:sz="4" w:space="0" w:color="F8C891" w:themeColor="accent2" w:themeTint="97"/>
          <w:bottom w:val="single" w:sz="4" w:space="0" w:color="F8C891" w:themeColor="accent2" w:themeTint="97"/>
          <w:right w:val="single" w:sz="4" w:space="0" w:color="F8C891" w:themeColor="accent2" w:themeTint="97"/>
        </w:tcBorders>
        <w:shd w:val="clear" w:color="F8C891" w:themeColor="accent2" w:themeTint="97" w:fill="F8C891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8C891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F1D985" w:themeColor="accent3" w:themeTint="90"/>
        <w:left w:val="single" w:sz="4" w:space="0" w:color="F1D985" w:themeColor="accent3" w:themeTint="90"/>
        <w:bottom w:val="single" w:sz="4" w:space="0" w:color="F1D985" w:themeColor="accent3" w:themeTint="90"/>
        <w:right w:val="single" w:sz="4" w:space="0" w:color="F1D985" w:themeColor="accent3" w:themeTint="90"/>
        <w:insideH w:val="single" w:sz="4" w:space="0" w:color="F1D985" w:themeColor="accent3" w:themeTint="90"/>
        <w:insideV w:val="single" w:sz="4" w:space="0" w:color="F1D985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7BC29" w:themeColor="accent3" w:themeTint="FE"/>
          <w:left w:val="single" w:sz="4" w:space="0" w:color="E7BC29" w:themeColor="accent3" w:themeTint="FE"/>
          <w:bottom w:val="single" w:sz="4" w:space="0" w:color="E7BC29" w:themeColor="accent3" w:themeTint="FE"/>
          <w:right w:val="single" w:sz="4" w:space="0" w:color="E7BC29" w:themeColor="accent3" w:themeTint="FE"/>
        </w:tcBorders>
        <w:shd w:val="clear" w:color="E7BC29" w:themeColor="accent3" w:themeTint="FE" w:fill="E7BC2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7BC2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E4C1CD" w:themeColor="accent4" w:themeTint="90"/>
        <w:left w:val="single" w:sz="4" w:space="0" w:color="E4C1CD" w:themeColor="accent4" w:themeTint="90"/>
        <w:bottom w:val="single" w:sz="4" w:space="0" w:color="E4C1CD" w:themeColor="accent4" w:themeTint="90"/>
        <w:right w:val="single" w:sz="4" w:space="0" w:color="E4C1CD" w:themeColor="accent4" w:themeTint="90"/>
        <w:insideH w:val="single" w:sz="4" w:space="0" w:color="E4C1CD" w:themeColor="accent4" w:themeTint="90"/>
        <w:insideV w:val="single" w:sz="4" w:space="0" w:color="E4C1CD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2BDC9" w:themeColor="accent4" w:themeTint="9A"/>
          <w:left w:val="single" w:sz="4" w:space="0" w:color="E2BDC9" w:themeColor="accent4" w:themeTint="9A"/>
          <w:bottom w:val="single" w:sz="4" w:space="0" w:color="E2BDC9" w:themeColor="accent4" w:themeTint="9A"/>
          <w:right w:val="single" w:sz="4" w:space="0" w:color="E2BDC9" w:themeColor="accent4" w:themeTint="9A"/>
        </w:tcBorders>
        <w:shd w:val="clear" w:color="E2BDC9" w:themeColor="accent4" w:themeTint="9A" w:fill="E2BDC9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E2BDC9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C6BADB" w:themeColor="accent5" w:themeTint="90"/>
        <w:left w:val="single" w:sz="4" w:space="0" w:color="C6BADB" w:themeColor="accent5" w:themeTint="90"/>
        <w:bottom w:val="single" w:sz="4" w:space="0" w:color="C6BADB" w:themeColor="accent5" w:themeTint="90"/>
        <w:right w:val="single" w:sz="4" w:space="0" w:color="C6BADB" w:themeColor="accent5" w:themeTint="90"/>
        <w:insideH w:val="single" w:sz="4" w:space="0" w:color="C6BADB" w:themeColor="accent5" w:themeTint="90"/>
        <w:insideV w:val="single" w:sz="4" w:space="0" w:color="C6BAD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</w:tcBorders>
        <w:shd w:val="clear" w:color="9C85C0" w:themeColor="accent5" w:fill="9C85C0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9C85C0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B7C8DC" w:themeColor="accent6" w:themeTint="90"/>
        <w:left w:val="single" w:sz="4" w:space="0" w:color="B7C8DC" w:themeColor="accent6" w:themeTint="90"/>
        <w:bottom w:val="single" w:sz="4" w:space="0" w:color="B7C8DC" w:themeColor="accent6" w:themeTint="90"/>
        <w:right w:val="single" w:sz="4" w:space="0" w:color="B7C8DC" w:themeColor="accent6" w:themeTint="90"/>
        <w:insideH w:val="single" w:sz="4" w:space="0" w:color="B7C8DC" w:themeColor="accent6" w:themeTint="90"/>
        <w:insideV w:val="single" w:sz="4" w:space="0" w:color="B7C8DC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</w:tcBorders>
        <w:shd w:val="clear" w:color="809EC2" w:themeColor="accent6" w:fill="809EC2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809EC2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B592" w:themeColor="accent1" w:fill="A5B59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B592" w:themeColor="accent1" w:fill="A5B59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B592" w:themeColor="accent1" w:fill="A5B59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B592" w:themeColor="accent1" w:fill="A5B592" w:themeFill="accent1"/>
      </w:tcPr>
    </w:tblStylePr>
    <w:tblStylePr w:type="band1Vert">
      <w:tblPr/>
      <w:tcPr>
        <w:shd w:val="clear" w:color="D5DDCC" w:themeColor="accent1" w:themeTint="75" w:fill="D5DDCC" w:themeFill="accent1" w:themeFillTint="75"/>
      </w:tcPr>
    </w:tblStylePr>
    <w:tblStylePr w:type="band1Horz">
      <w:tblPr/>
      <w:tcPr>
        <w:shd w:val="clear" w:color="D5DDCC" w:themeColor="accent1" w:themeTint="75" w:fill="D5DDCC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3A447" w:themeColor="accent2" w:fill="F3A447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3A447" w:themeColor="accent2" w:fill="F3A447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3A447" w:themeColor="accent2" w:fill="F3A447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3A447" w:themeColor="accent2" w:fill="F3A447" w:themeFill="accent2"/>
      </w:tcPr>
    </w:tblStylePr>
    <w:tblStylePr w:type="band1Vert">
      <w:tblPr/>
      <w:tcPr>
        <w:shd w:val="clear" w:color="F9D4AA" w:themeColor="accent2" w:themeTint="75" w:fill="F9D4AA" w:themeFill="accent2" w:themeFillTint="75"/>
      </w:tcPr>
    </w:tblStylePr>
    <w:tblStylePr w:type="band1Horz">
      <w:tblPr/>
      <w:tcPr>
        <w:shd w:val="clear" w:color="F9D4AA" w:themeColor="accent2" w:themeTint="75" w:fill="F9D4AA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7BC29" w:themeColor="accent3" w:fill="E7BC2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7BC29" w:themeColor="accent3" w:fill="E7BC2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7BC29" w:themeColor="accent3" w:fill="E7BC2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7BC29" w:themeColor="accent3" w:fill="E7BC29" w:themeFill="accent3"/>
      </w:tcPr>
    </w:tblStylePr>
    <w:tblStylePr w:type="band1Vert">
      <w:tblPr/>
      <w:tcPr>
        <w:shd w:val="clear" w:color="F4E09C" w:themeColor="accent3" w:themeTint="75" w:fill="F4E09C" w:themeFill="accent3" w:themeFillTint="75"/>
      </w:tcPr>
    </w:tblStylePr>
    <w:tblStylePr w:type="band1Horz">
      <w:tblPr/>
      <w:tcPr>
        <w:shd w:val="clear" w:color="F4E09C" w:themeColor="accent3" w:themeTint="75" w:fill="F4E09C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092A7" w:themeColor="accent4" w:fill="D092A7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D092A7" w:themeColor="accent4" w:fill="D092A7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D092A7" w:themeColor="accent4" w:fill="D092A7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D092A7" w:themeColor="accent4" w:fill="D092A7" w:themeFill="accent4"/>
      </w:tcPr>
    </w:tblStylePr>
    <w:tblStylePr w:type="band1Vert">
      <w:tblPr/>
      <w:tcPr>
        <w:shd w:val="clear" w:color="E9CCD6" w:themeColor="accent4" w:themeTint="75" w:fill="E9CCD6" w:themeFill="accent4" w:themeFillTint="75"/>
      </w:tcPr>
    </w:tblStylePr>
    <w:tblStylePr w:type="band1Horz">
      <w:tblPr/>
      <w:tcPr>
        <w:shd w:val="clear" w:color="E9CCD6" w:themeColor="accent4" w:themeTint="75" w:fill="E9CCD6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85C0" w:themeColor="accent5" w:fill="9C85C0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C85C0" w:themeColor="accent5" w:fill="9C85C0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C85C0" w:themeColor="accent5" w:fill="9C85C0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C85C0" w:themeColor="accent5" w:fill="9C85C0" w:themeFill="accent5"/>
      </w:tcPr>
    </w:tblStylePr>
    <w:tblStylePr w:type="band1Vert">
      <w:tblPr/>
      <w:tcPr>
        <w:shd w:val="clear" w:color="D1C6E2" w:themeColor="accent5" w:themeTint="75" w:fill="D1C6E2" w:themeFill="accent5" w:themeFillTint="75"/>
      </w:tcPr>
    </w:tblStylePr>
    <w:tblStylePr w:type="band1Horz">
      <w:tblPr/>
      <w:tcPr>
        <w:shd w:val="clear" w:color="D1C6E2" w:themeColor="accent5" w:themeTint="75" w:fill="D1C6E2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9EC2" w:themeColor="accent6" w:fill="809EC2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9EC2" w:themeColor="accent6" w:fill="809EC2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9EC2" w:themeColor="accent6" w:fill="809EC2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9EC2" w:themeColor="accent6" w:fill="809EC2" w:themeFill="accent6"/>
      </w:tcPr>
    </w:tblStylePr>
    <w:tblStylePr w:type="band1Vert">
      <w:tblPr/>
      <w:tcPr>
        <w:shd w:val="clear" w:color="C4D2E3" w:themeColor="accent6" w:themeTint="75" w:fill="C4D2E3" w:themeFill="accent6" w:themeFillTint="75"/>
      </w:tcPr>
    </w:tblStylePr>
    <w:tblStylePr w:type="band1Horz">
      <w:tblPr/>
      <w:tcPr>
        <w:shd w:val="clear" w:color="C4D2E3" w:themeColor="accent6" w:themeTint="75" w:fill="C4D2E3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D1D9C8" w:themeColor="accent1" w:themeTint="80"/>
        <w:left w:val="single" w:sz="4" w:space="0" w:color="D1D9C8" w:themeColor="accent1" w:themeTint="80"/>
        <w:bottom w:val="single" w:sz="4" w:space="0" w:color="D1D9C8" w:themeColor="accent1" w:themeTint="80"/>
        <w:right w:val="single" w:sz="4" w:space="0" w:color="D1D9C8" w:themeColor="accent1" w:themeTint="80"/>
        <w:insideH w:val="single" w:sz="4" w:space="0" w:color="D1D9C8" w:themeColor="accent1" w:themeTint="80"/>
        <w:insideV w:val="single" w:sz="4" w:space="0" w:color="D1D9C8" w:themeColor="accent1" w:themeTint="80"/>
      </w:tblBorders>
    </w:tblPr>
    <w:tblStylePr w:type="firstRow">
      <w:rPr>
        <w:b/>
        <w:color w:val="D1D9C8" w:themeColor="accent1" w:themeTint="80"/>
      </w:rPr>
      <w:tblPr/>
      <w:tcPr>
        <w:tcBorders>
          <w:bottom w:val="single" w:sz="12" w:space="0" w:color="D1D9C8" w:themeColor="accent1" w:themeTint="80"/>
        </w:tcBorders>
      </w:tcPr>
    </w:tblStylePr>
    <w:tblStylePr w:type="lastRow">
      <w:rPr>
        <w:b/>
        <w:color w:val="D1D9C8" w:themeColor="accent1" w:themeTint="80"/>
      </w:rPr>
    </w:tblStylePr>
    <w:tblStylePr w:type="firstCol">
      <w:rPr>
        <w:b/>
        <w:color w:val="D1D9C8" w:themeColor="accent1" w:themeTint="80"/>
      </w:rPr>
    </w:tblStylePr>
    <w:tblStylePr w:type="lastCol">
      <w:rPr>
        <w:b/>
        <w:color w:val="D1D9C8" w:themeColor="accent1" w:themeTint="80"/>
      </w:rPr>
    </w:tblStylePr>
    <w:tblStylePr w:type="band1Vert">
      <w:tblPr/>
      <w:tcPr>
        <w:shd w:val="clear" w:color="ECF0E8" w:themeColor="accent1" w:themeTint="34" w:fill="ECF0E8" w:themeFill="accent1" w:themeFillTint="34"/>
      </w:tcPr>
    </w:tblStylePr>
    <w:tblStylePr w:type="band1Horz">
      <w:rPr>
        <w:rFonts w:ascii="Arial" w:hAnsi="Arial"/>
        <w:color w:val="D1D9C8" w:themeColor="accent1" w:themeTint="80"/>
        <w:sz w:val="22"/>
      </w:rPr>
      <w:tblPr/>
      <w:tcPr>
        <w:shd w:val="clear" w:color="ECF0E8" w:themeColor="accent1" w:themeTint="34" w:fill="ECF0E8" w:themeFill="accent1" w:themeFillTint="34"/>
      </w:tcPr>
    </w:tblStylePr>
    <w:tblStylePr w:type="band2Horz">
      <w:rPr>
        <w:rFonts w:ascii="Arial" w:hAnsi="Arial"/>
        <w:color w:val="D1D9C8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F8C891" w:themeColor="accent2" w:themeTint="97"/>
        <w:left w:val="single" w:sz="4" w:space="0" w:color="F8C891" w:themeColor="accent2" w:themeTint="97"/>
        <w:bottom w:val="single" w:sz="4" w:space="0" w:color="F8C891" w:themeColor="accent2" w:themeTint="97"/>
        <w:right w:val="single" w:sz="4" w:space="0" w:color="F8C891" w:themeColor="accent2" w:themeTint="97"/>
        <w:insideH w:val="single" w:sz="4" w:space="0" w:color="F8C891" w:themeColor="accent2" w:themeTint="97"/>
        <w:insideV w:val="single" w:sz="4" w:space="0" w:color="F8C891" w:themeColor="accent2" w:themeTint="97"/>
      </w:tblBorders>
    </w:tblPr>
    <w:tblStylePr w:type="firstRow">
      <w:rPr>
        <w:b/>
        <w:color w:val="F8C992" w:themeColor="accent2" w:themeTint="96"/>
      </w:rPr>
      <w:tblPr/>
      <w:tcPr>
        <w:tcBorders>
          <w:bottom w:val="single" w:sz="12" w:space="0" w:color="F8C891" w:themeColor="accent2" w:themeTint="97"/>
        </w:tcBorders>
      </w:tcPr>
    </w:tblStylePr>
    <w:tblStylePr w:type="lastRow">
      <w:rPr>
        <w:b/>
        <w:color w:val="F8C992" w:themeColor="accent2" w:themeTint="96"/>
      </w:rPr>
    </w:tblStylePr>
    <w:tblStylePr w:type="firstCol">
      <w:rPr>
        <w:b/>
        <w:color w:val="F8C992" w:themeColor="accent2" w:themeTint="96"/>
      </w:rPr>
    </w:tblStylePr>
    <w:tblStylePr w:type="lastCol">
      <w:rPr>
        <w:b/>
        <w:color w:val="F8C992" w:themeColor="accent2" w:themeTint="96"/>
      </w:rPr>
    </w:tblStylePr>
    <w:tblStylePr w:type="band1Vert"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F8C992" w:themeColor="accent2" w:themeTint="96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2Horz">
      <w:rPr>
        <w:rFonts w:ascii="Arial" w:hAnsi="Arial"/>
        <w:color w:val="F8C992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E7BC29" w:themeColor="accent3" w:themeTint="FE"/>
        <w:left w:val="single" w:sz="4" w:space="0" w:color="E7BC29" w:themeColor="accent3" w:themeTint="FE"/>
        <w:bottom w:val="single" w:sz="4" w:space="0" w:color="E7BC29" w:themeColor="accent3" w:themeTint="FE"/>
        <w:right w:val="single" w:sz="4" w:space="0" w:color="E7BC29" w:themeColor="accent3" w:themeTint="FE"/>
        <w:insideH w:val="single" w:sz="4" w:space="0" w:color="E7BC29" w:themeColor="accent3" w:themeTint="FE"/>
        <w:insideV w:val="single" w:sz="4" w:space="0" w:color="E7BC29" w:themeColor="accent3" w:themeTint="FE"/>
      </w:tblBorders>
    </w:tblPr>
    <w:tblStylePr w:type="firstRow">
      <w:rPr>
        <w:b/>
        <w:color w:val="E7BC29" w:themeColor="accent3"/>
      </w:rPr>
      <w:tblPr/>
      <w:tcPr>
        <w:tcBorders>
          <w:bottom w:val="single" w:sz="12" w:space="0" w:color="E7BC29" w:themeColor="accent3" w:themeTint="FE"/>
        </w:tcBorders>
      </w:tcPr>
    </w:tblStylePr>
    <w:tblStylePr w:type="lastRow">
      <w:rPr>
        <w:b/>
        <w:color w:val="E7BC29" w:themeColor="accent3"/>
      </w:rPr>
    </w:tblStylePr>
    <w:tblStylePr w:type="firstCol">
      <w:rPr>
        <w:b/>
        <w:color w:val="E7BC29" w:themeColor="accent3"/>
      </w:rPr>
    </w:tblStylePr>
    <w:tblStylePr w:type="lastCol">
      <w:rPr>
        <w:b/>
        <w:color w:val="E7BC29" w:themeColor="accent3"/>
      </w:rPr>
    </w:tblStylePr>
    <w:tblStylePr w:type="band1Vert"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E7BC29" w:themeColor="accent3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2Horz">
      <w:rPr>
        <w:rFonts w:ascii="Arial" w:hAnsi="Arial"/>
        <w:color w:val="E7BC2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E2BDC9" w:themeColor="accent4" w:themeTint="9A"/>
        <w:left w:val="single" w:sz="4" w:space="0" w:color="E2BDC9" w:themeColor="accent4" w:themeTint="9A"/>
        <w:bottom w:val="single" w:sz="4" w:space="0" w:color="E2BDC9" w:themeColor="accent4" w:themeTint="9A"/>
        <w:right w:val="single" w:sz="4" w:space="0" w:color="E2BDC9" w:themeColor="accent4" w:themeTint="9A"/>
        <w:insideH w:val="single" w:sz="4" w:space="0" w:color="E2BDC9" w:themeColor="accent4" w:themeTint="9A"/>
        <w:insideV w:val="single" w:sz="4" w:space="0" w:color="E2BDC9" w:themeColor="accent4" w:themeTint="9A"/>
      </w:tblBorders>
    </w:tblPr>
    <w:tblStylePr w:type="firstRow">
      <w:rPr>
        <w:b/>
        <w:color w:val="E2BDCA" w:themeColor="accent4" w:themeTint="99"/>
      </w:rPr>
      <w:tblPr/>
      <w:tcPr>
        <w:tcBorders>
          <w:bottom w:val="single" w:sz="12" w:space="0" w:color="E2BDC9" w:themeColor="accent4" w:themeTint="9A"/>
        </w:tcBorders>
      </w:tcPr>
    </w:tblStylePr>
    <w:tblStylePr w:type="lastRow">
      <w:rPr>
        <w:b/>
        <w:color w:val="E2BDCA" w:themeColor="accent4" w:themeTint="99"/>
      </w:rPr>
    </w:tblStylePr>
    <w:tblStylePr w:type="firstCol">
      <w:rPr>
        <w:b/>
        <w:color w:val="E2BDCA" w:themeColor="accent4" w:themeTint="99"/>
      </w:rPr>
    </w:tblStylePr>
    <w:tblStylePr w:type="lastCol">
      <w:rPr>
        <w:b/>
        <w:color w:val="E2BDCA" w:themeColor="accent4" w:themeTint="99"/>
      </w:rPr>
    </w:tblStylePr>
    <w:tblStylePr w:type="band1Vert"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E2BDCA" w:themeColor="accent4" w:themeTint="99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2Horz">
      <w:rPr>
        <w:rFonts w:ascii="Arial" w:hAnsi="Arial"/>
        <w:color w:val="E2BDCA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9C85C0" w:themeColor="accent5"/>
        <w:insideV w:val="single" w:sz="4" w:space="0" w:color="9C85C0" w:themeColor="accent5"/>
      </w:tblBorders>
    </w:tblPr>
    <w:tblStylePr w:type="firstRow">
      <w:rPr>
        <w:b/>
        <w:color w:val="57407C" w:themeColor="accent5" w:themeShade="94"/>
      </w:rPr>
      <w:tblPr/>
      <w:tcPr>
        <w:tcBorders>
          <w:bottom w:val="single" w:sz="12" w:space="0" w:color="9C85C0" w:themeColor="accent5"/>
        </w:tcBorders>
      </w:tcPr>
    </w:tblStylePr>
    <w:tblStylePr w:type="lastRow">
      <w:rPr>
        <w:b/>
        <w:color w:val="57407C" w:themeColor="accent5" w:themeShade="94"/>
      </w:rPr>
    </w:tblStylePr>
    <w:tblStylePr w:type="firstCol">
      <w:rPr>
        <w:b/>
        <w:color w:val="57407C" w:themeColor="accent5" w:themeShade="94"/>
      </w:rPr>
    </w:tblStylePr>
    <w:tblStylePr w:type="lastCol">
      <w:rPr>
        <w:b/>
        <w:color w:val="57407C" w:themeColor="accent5" w:themeShade="94"/>
      </w:rPr>
    </w:tblStylePr>
    <w:tblStylePr w:type="band1Vert"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57407C" w:themeColor="accent5" w:themeShade="94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2Horz">
      <w:rPr>
        <w:rFonts w:ascii="Arial" w:hAnsi="Arial"/>
        <w:color w:val="57407C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809EC2" w:themeColor="accent6"/>
        <w:insideV w:val="single" w:sz="4" w:space="0" w:color="809EC2" w:themeColor="accent6"/>
      </w:tblBorders>
    </w:tblPr>
    <w:tblStylePr w:type="firstRow">
      <w:rPr>
        <w:b/>
        <w:color w:val="57407C" w:themeColor="accent5" w:themeShade="94"/>
      </w:rPr>
      <w:tblPr/>
      <w:tcPr>
        <w:tcBorders>
          <w:bottom w:val="single" w:sz="12" w:space="0" w:color="809EC2" w:themeColor="accent6"/>
        </w:tcBorders>
      </w:tcPr>
    </w:tblStylePr>
    <w:tblStylePr w:type="lastRow">
      <w:rPr>
        <w:b/>
        <w:color w:val="57407C" w:themeColor="accent5" w:themeShade="94"/>
      </w:rPr>
    </w:tblStylePr>
    <w:tblStylePr w:type="firstCol">
      <w:rPr>
        <w:b/>
        <w:color w:val="57407C" w:themeColor="accent5" w:themeShade="94"/>
      </w:rPr>
    </w:tblStylePr>
    <w:tblStylePr w:type="lastCol">
      <w:rPr>
        <w:b/>
        <w:color w:val="57407C" w:themeColor="accent5" w:themeShade="94"/>
      </w:rPr>
    </w:tblStylePr>
    <w:tblStylePr w:type="band1Vert"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57407C" w:themeColor="accent5" w:themeShade="94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2Horz">
      <w:rPr>
        <w:rFonts w:ascii="Arial" w:hAnsi="Arial"/>
        <w:color w:val="57407C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D1D9C8" w:themeColor="accent1" w:themeTint="80"/>
        <w:right w:val="single" w:sz="4" w:space="0" w:color="D1D9C8" w:themeColor="accent1" w:themeTint="80"/>
        <w:insideH w:val="single" w:sz="4" w:space="0" w:color="D1D9C8" w:themeColor="accent1" w:themeTint="80"/>
        <w:insideV w:val="single" w:sz="4" w:space="0" w:color="D1D9C8" w:themeColor="accent1" w:themeTint="80"/>
      </w:tblBorders>
    </w:tblPr>
    <w:tblStylePr w:type="firstRow">
      <w:rPr>
        <w:rFonts w:ascii="Arial" w:hAnsi="Arial"/>
        <w:b/>
        <w:color w:val="D1D9C8" w:themeColor="accent1" w:themeTint="80"/>
        <w:sz w:val="22"/>
      </w:rPr>
      <w:tblPr/>
      <w:tcPr>
        <w:tcBorders>
          <w:top w:val="nil"/>
          <w:left w:val="nil"/>
          <w:bottom w:val="single" w:sz="4" w:space="0" w:color="D1D9C8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1D9C8" w:themeColor="accent1" w:themeTint="80"/>
        <w:sz w:val="22"/>
      </w:rPr>
      <w:tblPr/>
      <w:tcPr>
        <w:tcBorders>
          <w:top w:val="single" w:sz="4" w:space="0" w:color="D1D9C8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D9C8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D1D9C8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D1D9C8" w:themeColor="accent1" w:themeTint="80"/>
        <w:sz w:val="22"/>
      </w:rPr>
      <w:tblPr/>
      <w:tcPr>
        <w:tcBorders>
          <w:top w:val="nil"/>
          <w:left w:val="single" w:sz="4" w:space="0" w:color="D1D9C8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F0E8" w:themeColor="accent1" w:themeTint="34" w:fill="ECF0E8" w:themeFill="accent1" w:themeFillTint="34"/>
      </w:tcPr>
    </w:tblStylePr>
    <w:tblStylePr w:type="band1Horz">
      <w:rPr>
        <w:rFonts w:ascii="Arial" w:hAnsi="Arial"/>
        <w:color w:val="D1D9C8" w:themeColor="accent1" w:themeTint="80"/>
        <w:sz w:val="22"/>
      </w:rPr>
      <w:tblPr/>
      <w:tcPr>
        <w:shd w:val="clear" w:color="ECF0E8" w:themeColor="accent1" w:themeTint="34" w:fill="ECF0E8" w:themeFill="accent1" w:themeFillTint="34"/>
      </w:tcPr>
    </w:tblStylePr>
    <w:tblStylePr w:type="band2Horz">
      <w:rPr>
        <w:rFonts w:ascii="Arial" w:hAnsi="Arial"/>
        <w:color w:val="D1D9C8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F8C891" w:themeColor="accent2" w:themeTint="97"/>
        <w:right w:val="single" w:sz="4" w:space="0" w:color="F8C891" w:themeColor="accent2" w:themeTint="97"/>
        <w:insideH w:val="single" w:sz="4" w:space="0" w:color="F8C891" w:themeColor="accent2" w:themeTint="97"/>
        <w:insideV w:val="single" w:sz="4" w:space="0" w:color="F8C891" w:themeColor="accent2" w:themeTint="97"/>
      </w:tblBorders>
    </w:tblPr>
    <w:tblStylePr w:type="firstRow">
      <w:rPr>
        <w:rFonts w:ascii="Arial" w:hAnsi="Arial"/>
        <w:b/>
        <w:color w:val="F8C992" w:themeColor="accent2" w:themeTint="96"/>
        <w:sz w:val="22"/>
      </w:rPr>
      <w:tblPr/>
      <w:tcPr>
        <w:tcBorders>
          <w:top w:val="nil"/>
          <w:left w:val="nil"/>
          <w:bottom w:val="single" w:sz="4" w:space="0" w:color="F8C891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8C992" w:themeColor="accent2" w:themeTint="96"/>
        <w:sz w:val="22"/>
      </w:rPr>
      <w:tblPr/>
      <w:tcPr>
        <w:tcBorders>
          <w:top w:val="single" w:sz="4" w:space="0" w:color="F8C891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8C992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8C891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8C992" w:themeColor="accent2" w:themeTint="96"/>
        <w:sz w:val="22"/>
      </w:rPr>
      <w:tblPr/>
      <w:tcPr>
        <w:tcBorders>
          <w:top w:val="nil"/>
          <w:left w:val="single" w:sz="4" w:space="0" w:color="F8C891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F8C992" w:themeColor="accent2" w:themeTint="96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2Horz">
      <w:rPr>
        <w:rFonts w:ascii="Arial" w:hAnsi="Arial"/>
        <w:color w:val="F8C992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E7BC29" w:themeColor="accent3" w:themeTint="FE"/>
        <w:right w:val="single" w:sz="4" w:space="0" w:color="E7BC29" w:themeColor="accent3" w:themeTint="FE"/>
        <w:insideH w:val="single" w:sz="4" w:space="0" w:color="E7BC29" w:themeColor="accent3" w:themeTint="FE"/>
        <w:insideV w:val="single" w:sz="4" w:space="0" w:color="E7BC29" w:themeColor="accent3" w:themeTint="FE"/>
      </w:tblBorders>
    </w:tblPr>
    <w:tblStylePr w:type="firstRow">
      <w:rPr>
        <w:rFonts w:ascii="Arial" w:hAnsi="Arial"/>
        <w:b/>
        <w:color w:val="E7BC29" w:themeColor="accent3"/>
        <w:sz w:val="22"/>
      </w:rPr>
      <w:tblPr/>
      <w:tcPr>
        <w:tcBorders>
          <w:top w:val="nil"/>
          <w:left w:val="nil"/>
          <w:bottom w:val="single" w:sz="4" w:space="0" w:color="E7BC2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E7BC29" w:themeColor="accent3"/>
        <w:sz w:val="22"/>
      </w:rPr>
      <w:tblPr/>
      <w:tcPr>
        <w:tcBorders>
          <w:top w:val="single" w:sz="4" w:space="0" w:color="E7BC2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7BC29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E7BC2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E7BC29" w:themeColor="accent3"/>
        <w:sz w:val="22"/>
      </w:rPr>
      <w:tblPr/>
      <w:tcPr>
        <w:tcBorders>
          <w:top w:val="nil"/>
          <w:left w:val="single" w:sz="4" w:space="0" w:color="E7BC2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E7BC29" w:themeColor="accent3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2Horz">
      <w:rPr>
        <w:rFonts w:ascii="Arial" w:hAnsi="Arial"/>
        <w:color w:val="E7BC2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E2BDC9" w:themeColor="accent4" w:themeTint="9A"/>
        <w:right w:val="single" w:sz="4" w:space="0" w:color="E2BDC9" w:themeColor="accent4" w:themeTint="9A"/>
        <w:insideH w:val="single" w:sz="4" w:space="0" w:color="E2BDC9" w:themeColor="accent4" w:themeTint="9A"/>
        <w:insideV w:val="single" w:sz="4" w:space="0" w:color="E2BDC9" w:themeColor="accent4" w:themeTint="9A"/>
      </w:tblBorders>
    </w:tblPr>
    <w:tblStylePr w:type="firstRow">
      <w:rPr>
        <w:rFonts w:ascii="Arial" w:hAnsi="Arial"/>
        <w:b/>
        <w:color w:val="E2BDCA" w:themeColor="accent4" w:themeTint="99"/>
        <w:sz w:val="22"/>
      </w:rPr>
      <w:tblPr/>
      <w:tcPr>
        <w:tcBorders>
          <w:top w:val="nil"/>
          <w:left w:val="nil"/>
          <w:bottom w:val="single" w:sz="4" w:space="0" w:color="E2BDC9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E2BDCA" w:themeColor="accent4" w:themeTint="99"/>
        <w:sz w:val="22"/>
      </w:rPr>
      <w:tblPr/>
      <w:tcPr>
        <w:tcBorders>
          <w:top w:val="single" w:sz="4" w:space="0" w:color="E2BDC9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2BDCA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E2BDC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E2BDCA" w:themeColor="accent4" w:themeTint="99"/>
        <w:sz w:val="22"/>
      </w:rPr>
      <w:tblPr/>
      <w:tcPr>
        <w:tcBorders>
          <w:top w:val="nil"/>
          <w:left w:val="single" w:sz="4" w:space="0" w:color="E2BDC9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E2BDCA" w:themeColor="accent4" w:themeTint="99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2Horz">
      <w:rPr>
        <w:rFonts w:ascii="Arial" w:hAnsi="Arial"/>
        <w:color w:val="E2BDCA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C6BADB" w:themeColor="accent5" w:themeTint="90"/>
        <w:right w:val="single" w:sz="4" w:space="0" w:color="C6BADB" w:themeColor="accent5" w:themeTint="90"/>
        <w:insideH w:val="single" w:sz="4" w:space="0" w:color="C6BADB" w:themeColor="accent5" w:themeTint="90"/>
        <w:insideV w:val="single" w:sz="4" w:space="0" w:color="C6BADB" w:themeColor="accent5" w:themeTint="90"/>
      </w:tblBorders>
    </w:tblPr>
    <w:tblStylePr w:type="firstRow">
      <w:rPr>
        <w:rFonts w:ascii="Arial" w:hAnsi="Arial"/>
        <w:b/>
        <w:color w:val="57407C" w:themeColor="accent5" w:themeShade="94"/>
        <w:sz w:val="22"/>
      </w:rPr>
      <w:tblPr/>
      <w:tcPr>
        <w:tcBorders>
          <w:top w:val="nil"/>
          <w:left w:val="nil"/>
          <w:bottom w:val="single" w:sz="4" w:space="0" w:color="C6BADB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7407C" w:themeColor="accent5" w:themeShade="94"/>
        <w:sz w:val="22"/>
      </w:rPr>
      <w:tblPr/>
      <w:tcPr>
        <w:tcBorders>
          <w:top w:val="single" w:sz="4" w:space="0" w:color="C6BADB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7407C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C6BADB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7407C" w:themeColor="accent5" w:themeShade="94"/>
        <w:sz w:val="22"/>
      </w:rPr>
      <w:tblPr/>
      <w:tcPr>
        <w:tcBorders>
          <w:top w:val="nil"/>
          <w:left w:val="single" w:sz="4" w:space="0" w:color="C6BADB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57407C" w:themeColor="accent5" w:themeShade="94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2Horz">
      <w:rPr>
        <w:rFonts w:ascii="Arial" w:hAnsi="Arial"/>
        <w:color w:val="57407C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B7C8DC" w:themeColor="accent6" w:themeTint="90"/>
        <w:right w:val="single" w:sz="4" w:space="0" w:color="B7C8DC" w:themeColor="accent6" w:themeTint="90"/>
        <w:insideH w:val="single" w:sz="4" w:space="0" w:color="B7C8DC" w:themeColor="accent6" w:themeTint="90"/>
        <w:insideV w:val="single" w:sz="4" w:space="0" w:color="B7C8DC" w:themeColor="accent6" w:themeTint="90"/>
      </w:tblBorders>
    </w:tblPr>
    <w:tblStylePr w:type="firstRow">
      <w:rPr>
        <w:rFonts w:ascii="Arial" w:hAnsi="Arial"/>
        <w:b/>
        <w:color w:val="3C5A7E" w:themeColor="accent6" w:themeShade="94"/>
        <w:sz w:val="22"/>
      </w:rPr>
      <w:tblPr/>
      <w:tcPr>
        <w:tcBorders>
          <w:top w:val="nil"/>
          <w:left w:val="nil"/>
          <w:bottom w:val="single" w:sz="4" w:space="0" w:color="B7C8DC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C5A7E" w:themeColor="accent6" w:themeShade="94"/>
        <w:sz w:val="22"/>
      </w:rPr>
      <w:tblPr/>
      <w:tcPr>
        <w:tcBorders>
          <w:top w:val="single" w:sz="4" w:space="0" w:color="B7C8DC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C5A7E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B7C8DC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C5A7E" w:themeColor="accent6" w:themeShade="94"/>
        <w:sz w:val="22"/>
      </w:rPr>
      <w:tblPr/>
      <w:tcPr>
        <w:tcBorders>
          <w:top w:val="nil"/>
          <w:left w:val="single" w:sz="4" w:space="0" w:color="B7C8DC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3C5A7E" w:themeColor="accent6" w:themeShade="94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2Horz">
      <w:rPr>
        <w:rFonts w:ascii="Arial" w:hAnsi="Arial"/>
        <w:color w:val="3C5A7E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B592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B592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CE3" w:themeColor="accent1" w:themeTint="40" w:fill="E8ECE3" w:themeFill="accent1" w:themeFillTint="40"/>
      </w:tcPr>
    </w:tblStylePr>
    <w:tblStylePr w:type="band1Horz">
      <w:tblPr/>
      <w:tcPr>
        <w:shd w:val="clear" w:color="E8ECE3" w:themeColor="accent1" w:themeTint="40" w:fill="E8ECE3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3A447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3A447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E7D0" w:themeColor="accent2" w:themeTint="40" w:fill="FCE7D0" w:themeFill="accent2" w:themeFillTint="40"/>
      </w:tcPr>
    </w:tblStylePr>
    <w:tblStylePr w:type="band1Horz">
      <w:tblPr/>
      <w:tcPr>
        <w:shd w:val="clear" w:color="FCE7D0" w:themeColor="accent2" w:themeTint="40" w:fill="FCE7D0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7BC2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7BC2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EEC9" w:themeColor="accent3" w:themeTint="40" w:fill="F9EEC9" w:themeFill="accent3" w:themeFillTint="40"/>
      </w:tcPr>
    </w:tblStylePr>
    <w:tblStylePr w:type="band1Horz">
      <w:tblPr/>
      <w:tcPr>
        <w:shd w:val="clear" w:color="F9EEC9" w:themeColor="accent3" w:themeTint="40" w:fill="F9EEC9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D092A7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092A7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3E3E8" w:themeColor="accent4" w:themeTint="40" w:fill="F3E3E8" w:themeFill="accent4" w:themeFillTint="40"/>
      </w:tcPr>
    </w:tblStylePr>
    <w:tblStylePr w:type="band1Horz">
      <w:tblPr/>
      <w:tcPr>
        <w:shd w:val="clear" w:color="F3E3E8" w:themeColor="accent4" w:themeTint="40" w:fill="F3E3E8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C85C0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C85C0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0EF" w:themeColor="accent5" w:themeTint="40" w:fill="E5E0EF" w:themeFill="accent5" w:themeFillTint="40"/>
      </w:tcPr>
    </w:tblStylePr>
    <w:tblStylePr w:type="band1Horz">
      <w:tblPr/>
      <w:tcPr>
        <w:shd w:val="clear" w:color="E5E0EF" w:themeColor="accent5" w:themeTint="40" w:fill="E5E0EF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9EC2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9EC2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E6EF" w:themeColor="accent6" w:themeTint="40" w:fill="DFE6EF" w:themeFill="accent6" w:themeFillTint="40"/>
      </w:tcPr>
    </w:tblStylePr>
    <w:tblStylePr w:type="band1Horz">
      <w:tblPr/>
      <w:tcPr>
        <w:shd w:val="clear" w:color="DFE6EF" w:themeColor="accent6" w:themeTint="40" w:fill="DFE6EF" w:themeFill="accent6" w:themeFillTint="4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CBD5C1" w:themeColor="accent1" w:themeTint="90"/>
        <w:bottom w:val="single" w:sz="4" w:space="0" w:color="CBD5C1" w:themeColor="accent1" w:themeTint="90"/>
        <w:insideH w:val="single" w:sz="4" w:space="0" w:color="CBD5C1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BD5C1" w:themeColor="accent1" w:themeTint="90"/>
          <w:left w:val="nil"/>
          <w:bottom w:val="single" w:sz="4" w:space="0" w:color="CBD5C1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BD5C1" w:themeColor="accent1" w:themeTint="90"/>
          <w:left w:val="nil"/>
          <w:bottom w:val="single" w:sz="4" w:space="0" w:color="CBD5C1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CE3" w:themeColor="accent1" w:themeTint="40" w:fill="E8ECE3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CE3" w:themeColor="accent1" w:themeTint="40" w:fill="E8ECE3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F8CB96" w:themeColor="accent2" w:themeTint="90"/>
        <w:bottom w:val="single" w:sz="4" w:space="0" w:color="F8CB96" w:themeColor="accent2" w:themeTint="90"/>
        <w:insideH w:val="single" w:sz="4" w:space="0" w:color="F8CB96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8CB96" w:themeColor="accent2" w:themeTint="90"/>
          <w:left w:val="nil"/>
          <w:bottom w:val="single" w:sz="4" w:space="0" w:color="F8CB96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8CB96" w:themeColor="accent2" w:themeTint="90"/>
          <w:left w:val="nil"/>
          <w:bottom w:val="single" w:sz="4" w:space="0" w:color="F8CB96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7D0" w:themeColor="accent2" w:themeTint="40" w:fill="FCE7D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7D0" w:themeColor="accent2" w:themeTint="40" w:fill="FCE7D0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F1D985" w:themeColor="accent3" w:themeTint="90"/>
        <w:bottom w:val="single" w:sz="4" w:space="0" w:color="F1D985" w:themeColor="accent3" w:themeTint="90"/>
        <w:insideH w:val="single" w:sz="4" w:space="0" w:color="F1D985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D985" w:themeColor="accent3" w:themeTint="90"/>
          <w:left w:val="nil"/>
          <w:bottom w:val="single" w:sz="4" w:space="0" w:color="F1D985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D985" w:themeColor="accent3" w:themeTint="90"/>
          <w:left w:val="nil"/>
          <w:bottom w:val="single" w:sz="4" w:space="0" w:color="F1D985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EEC9" w:themeColor="accent3" w:themeTint="40" w:fill="F9EEC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EC9" w:themeColor="accent3" w:themeTint="40" w:fill="F9EEC9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E4C1CD" w:themeColor="accent4" w:themeTint="90"/>
        <w:bottom w:val="single" w:sz="4" w:space="0" w:color="E4C1CD" w:themeColor="accent4" w:themeTint="90"/>
        <w:insideH w:val="single" w:sz="4" w:space="0" w:color="E4C1CD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4C1CD" w:themeColor="accent4" w:themeTint="90"/>
          <w:left w:val="nil"/>
          <w:bottom w:val="single" w:sz="4" w:space="0" w:color="E4C1CD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4C1CD" w:themeColor="accent4" w:themeTint="90"/>
          <w:left w:val="nil"/>
          <w:bottom w:val="single" w:sz="4" w:space="0" w:color="E4C1CD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E3E8" w:themeColor="accent4" w:themeTint="40" w:fill="F3E3E8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E3E8" w:themeColor="accent4" w:themeTint="40" w:fill="F3E3E8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C6BADB" w:themeColor="accent5" w:themeTint="90"/>
        <w:bottom w:val="single" w:sz="4" w:space="0" w:color="C6BADB" w:themeColor="accent5" w:themeTint="90"/>
        <w:insideH w:val="single" w:sz="4" w:space="0" w:color="C6BAD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BADB" w:themeColor="accent5" w:themeTint="90"/>
          <w:left w:val="nil"/>
          <w:bottom w:val="single" w:sz="4" w:space="0" w:color="C6BADB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BADB" w:themeColor="accent5" w:themeTint="90"/>
          <w:left w:val="nil"/>
          <w:bottom w:val="single" w:sz="4" w:space="0" w:color="C6BADB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0EF" w:themeColor="accent5" w:themeTint="40" w:fill="E5E0E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0EF" w:themeColor="accent5" w:themeTint="40" w:fill="E5E0EF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B7C8DC" w:themeColor="accent6" w:themeTint="90"/>
        <w:bottom w:val="single" w:sz="4" w:space="0" w:color="B7C8DC" w:themeColor="accent6" w:themeTint="90"/>
        <w:insideH w:val="single" w:sz="4" w:space="0" w:color="B7C8DC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C8DC" w:themeColor="accent6" w:themeTint="90"/>
          <w:left w:val="nil"/>
          <w:bottom w:val="single" w:sz="4" w:space="0" w:color="B7C8DC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C8DC" w:themeColor="accent6" w:themeTint="90"/>
          <w:left w:val="nil"/>
          <w:bottom w:val="single" w:sz="4" w:space="0" w:color="B7C8DC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E6EF" w:themeColor="accent6" w:themeTint="40" w:fill="DFE6E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E6EF" w:themeColor="accent6" w:themeTint="40" w:fill="DFE6EF" w:themeFill="accent6" w:themeFillTint="4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B592" w:themeColor="accent1" w:fill="A5B59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5B592" w:themeColor="accent1"/>
          <w:bottom w:val="single" w:sz="4" w:space="0" w:color="A5B592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F8C891" w:themeColor="accent2" w:themeTint="97"/>
        <w:left w:val="single" w:sz="4" w:space="0" w:color="F8C891" w:themeColor="accent2" w:themeTint="97"/>
        <w:bottom w:val="single" w:sz="4" w:space="0" w:color="F8C891" w:themeColor="accent2" w:themeTint="97"/>
        <w:right w:val="single" w:sz="4" w:space="0" w:color="F8C891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8C891" w:themeColor="accent2" w:themeTint="97"/>
          <w:right w:val="single" w:sz="4" w:space="0" w:color="F8C89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891" w:themeColor="accent2" w:themeTint="97"/>
          <w:bottom w:val="single" w:sz="4" w:space="0" w:color="F8C891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F0D67F" w:themeColor="accent3" w:themeTint="98"/>
        <w:left w:val="single" w:sz="4" w:space="0" w:color="F0D67F" w:themeColor="accent3" w:themeTint="98"/>
        <w:bottom w:val="single" w:sz="4" w:space="0" w:color="F0D67F" w:themeColor="accent3" w:themeTint="98"/>
        <w:right w:val="single" w:sz="4" w:space="0" w:color="F0D67F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0D67F" w:themeColor="accent3" w:themeTint="98" w:fill="F0D67F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0D67F" w:themeColor="accent3" w:themeTint="98"/>
          <w:right w:val="single" w:sz="4" w:space="0" w:color="F0D67F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D67F" w:themeColor="accent3" w:themeTint="98"/>
          <w:bottom w:val="single" w:sz="4" w:space="0" w:color="F0D67F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E2BDC9" w:themeColor="accent4" w:themeTint="9A"/>
        <w:left w:val="single" w:sz="4" w:space="0" w:color="E2BDC9" w:themeColor="accent4" w:themeTint="9A"/>
        <w:bottom w:val="single" w:sz="4" w:space="0" w:color="E2BDC9" w:themeColor="accent4" w:themeTint="9A"/>
        <w:right w:val="single" w:sz="4" w:space="0" w:color="E2BDC9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2BDC9" w:themeColor="accent4" w:themeTint="9A"/>
          <w:right w:val="single" w:sz="4" w:space="0" w:color="E2BDC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BDC9" w:themeColor="accent4" w:themeTint="9A"/>
          <w:bottom w:val="single" w:sz="4" w:space="0" w:color="E2BDC9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C3B5D8" w:themeColor="accent5" w:themeTint="9A"/>
        <w:left w:val="single" w:sz="4" w:space="0" w:color="C3B5D8" w:themeColor="accent5" w:themeTint="9A"/>
        <w:bottom w:val="single" w:sz="4" w:space="0" w:color="C3B5D8" w:themeColor="accent5" w:themeTint="9A"/>
        <w:right w:val="single" w:sz="4" w:space="0" w:color="C3B5D8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B5D8" w:themeColor="accent5" w:themeTint="9A" w:fill="C3B5D8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B5D8" w:themeColor="accent5" w:themeTint="9A"/>
          <w:right w:val="single" w:sz="4" w:space="0" w:color="C3B5D8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B5D8" w:themeColor="accent5" w:themeTint="9A"/>
          <w:bottom w:val="single" w:sz="4" w:space="0" w:color="C3B5D8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B3C4DA" w:themeColor="accent6" w:themeTint="98"/>
        <w:left w:val="single" w:sz="4" w:space="0" w:color="B3C4DA" w:themeColor="accent6" w:themeTint="98"/>
        <w:bottom w:val="single" w:sz="4" w:space="0" w:color="B3C4DA" w:themeColor="accent6" w:themeTint="98"/>
        <w:right w:val="single" w:sz="4" w:space="0" w:color="B3C4DA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3C4DA" w:themeColor="accent6" w:themeTint="98" w:fill="B3C4DA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3C4DA" w:themeColor="accent6" w:themeTint="98"/>
          <w:right w:val="single" w:sz="4" w:space="0" w:color="B3C4D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4DA" w:themeColor="accent6" w:themeTint="98"/>
          <w:bottom w:val="single" w:sz="4" w:space="0" w:color="B3C4DA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CBD5C1" w:themeColor="accent1" w:themeTint="90"/>
        <w:left w:val="single" w:sz="4" w:space="0" w:color="CBD5C1" w:themeColor="accent1" w:themeTint="90"/>
        <w:bottom w:val="single" w:sz="4" w:space="0" w:color="CBD5C1" w:themeColor="accent1" w:themeTint="90"/>
        <w:right w:val="single" w:sz="4" w:space="0" w:color="CBD5C1" w:themeColor="accent1" w:themeTint="90"/>
        <w:insideH w:val="single" w:sz="4" w:space="0" w:color="CBD5C1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B592" w:themeColor="accent1" w:fill="A5B59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CE3" w:themeColor="accent1" w:themeTint="40" w:fill="E8ECE3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CE3" w:themeColor="accent1" w:themeTint="40" w:fill="E8ECE3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F8CB96" w:themeColor="accent2" w:themeTint="90"/>
        <w:left w:val="single" w:sz="4" w:space="0" w:color="F8CB96" w:themeColor="accent2" w:themeTint="90"/>
        <w:bottom w:val="single" w:sz="4" w:space="0" w:color="F8CB96" w:themeColor="accent2" w:themeTint="90"/>
        <w:right w:val="single" w:sz="4" w:space="0" w:color="F8CB96" w:themeColor="accent2" w:themeTint="90"/>
        <w:insideH w:val="single" w:sz="4" w:space="0" w:color="F8CB96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3A447" w:themeColor="accent2" w:fill="F3A447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7D0" w:themeColor="accent2" w:themeTint="40" w:fill="FCE7D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7D0" w:themeColor="accent2" w:themeTint="40" w:fill="FCE7D0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F1D985" w:themeColor="accent3" w:themeTint="90"/>
        <w:left w:val="single" w:sz="4" w:space="0" w:color="F1D985" w:themeColor="accent3" w:themeTint="90"/>
        <w:bottom w:val="single" w:sz="4" w:space="0" w:color="F1D985" w:themeColor="accent3" w:themeTint="90"/>
        <w:right w:val="single" w:sz="4" w:space="0" w:color="F1D985" w:themeColor="accent3" w:themeTint="90"/>
        <w:insideH w:val="single" w:sz="4" w:space="0" w:color="F1D985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7BC29" w:themeColor="accent3" w:fill="E7BC2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EEC9" w:themeColor="accent3" w:themeTint="40" w:fill="F9EEC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EEC9" w:themeColor="accent3" w:themeTint="40" w:fill="F9EEC9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E4C1CD" w:themeColor="accent4" w:themeTint="90"/>
        <w:left w:val="single" w:sz="4" w:space="0" w:color="E4C1CD" w:themeColor="accent4" w:themeTint="90"/>
        <w:bottom w:val="single" w:sz="4" w:space="0" w:color="E4C1CD" w:themeColor="accent4" w:themeTint="90"/>
        <w:right w:val="single" w:sz="4" w:space="0" w:color="E4C1CD" w:themeColor="accent4" w:themeTint="90"/>
        <w:insideH w:val="single" w:sz="4" w:space="0" w:color="E4C1CD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092A7" w:themeColor="accent4" w:fill="D092A7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E3E8" w:themeColor="accent4" w:themeTint="40" w:fill="F3E3E8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E3E8" w:themeColor="accent4" w:themeTint="40" w:fill="F3E3E8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C6BADB" w:themeColor="accent5" w:themeTint="90"/>
        <w:left w:val="single" w:sz="4" w:space="0" w:color="C6BADB" w:themeColor="accent5" w:themeTint="90"/>
        <w:bottom w:val="single" w:sz="4" w:space="0" w:color="C6BADB" w:themeColor="accent5" w:themeTint="90"/>
        <w:right w:val="single" w:sz="4" w:space="0" w:color="C6BADB" w:themeColor="accent5" w:themeTint="90"/>
        <w:insideH w:val="single" w:sz="4" w:space="0" w:color="C6BAD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85C0" w:themeColor="accent5" w:fill="9C85C0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0EF" w:themeColor="accent5" w:themeTint="40" w:fill="E5E0E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0EF" w:themeColor="accent5" w:themeTint="40" w:fill="E5E0EF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B7C8DC" w:themeColor="accent6" w:themeTint="90"/>
        <w:left w:val="single" w:sz="4" w:space="0" w:color="B7C8DC" w:themeColor="accent6" w:themeTint="90"/>
        <w:bottom w:val="single" w:sz="4" w:space="0" w:color="B7C8DC" w:themeColor="accent6" w:themeTint="90"/>
        <w:right w:val="single" w:sz="4" w:space="0" w:color="B7C8DC" w:themeColor="accent6" w:themeTint="90"/>
        <w:insideH w:val="single" w:sz="4" w:space="0" w:color="B7C8DC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9EC2" w:themeColor="accent6" w:fill="809EC2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E6EF" w:themeColor="accent6" w:themeTint="40" w:fill="DFE6E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E6EF" w:themeColor="accent6" w:themeTint="40" w:fill="DFE6E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A5B592" w:themeColor="accent1"/>
        <w:left w:val="single" w:sz="32" w:space="0" w:color="A5B592" w:themeColor="accent1"/>
        <w:bottom w:val="single" w:sz="32" w:space="0" w:color="A5B592" w:themeColor="accent1"/>
        <w:right w:val="single" w:sz="32" w:space="0" w:color="A5B592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5B592" w:themeColor="accent1"/>
          <w:bottom w:val="single" w:sz="12" w:space="0" w:color="FFFFFF" w:themeColor="light1"/>
        </w:tcBorders>
        <w:shd w:val="clear" w:color="A5B592" w:themeColor="accent1" w:fill="A5B59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5B59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B59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5B592" w:themeColor="accent1" w:fill="A5B59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5B592" w:themeColor="accent1" w:fill="A5B59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5B592" w:themeColor="accent1" w:fill="A5B592" w:themeFill="accent1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F8C891" w:themeColor="accent2" w:themeTint="97"/>
        <w:left w:val="single" w:sz="32" w:space="0" w:color="F8C891" w:themeColor="accent2" w:themeTint="97"/>
        <w:bottom w:val="single" w:sz="32" w:space="0" w:color="F8C891" w:themeColor="accent2" w:themeTint="97"/>
        <w:right w:val="single" w:sz="32" w:space="0" w:color="F8C891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8C891" w:themeColor="accent2" w:themeTint="97"/>
          <w:bottom w:val="single" w:sz="12" w:space="0" w:color="FFFFFF" w:themeColor="light1"/>
        </w:tcBorders>
        <w:shd w:val="clear" w:color="F8C891" w:themeColor="accent2" w:themeTint="97" w:fill="F8C891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8C891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8C891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8C891" w:themeColor="accent2" w:themeTint="97" w:fill="F8C891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8C891" w:themeColor="accent2" w:themeTint="97" w:fill="F8C891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8C891" w:themeColor="accent2" w:themeTint="97" w:fill="F8C891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F0D67F" w:themeColor="accent3" w:themeTint="98"/>
        <w:left w:val="single" w:sz="32" w:space="0" w:color="F0D67F" w:themeColor="accent3" w:themeTint="98"/>
        <w:bottom w:val="single" w:sz="32" w:space="0" w:color="F0D67F" w:themeColor="accent3" w:themeTint="98"/>
        <w:right w:val="single" w:sz="32" w:space="0" w:color="F0D67F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0D67F" w:themeColor="accent3" w:themeTint="98"/>
          <w:bottom w:val="single" w:sz="12" w:space="0" w:color="FFFFFF" w:themeColor="light1"/>
        </w:tcBorders>
        <w:shd w:val="clear" w:color="F0D67F" w:themeColor="accent3" w:themeTint="98" w:fill="F0D67F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0D67F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0D67F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0D67F" w:themeColor="accent3" w:themeTint="98" w:fill="F0D67F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0D67F" w:themeColor="accent3" w:themeTint="98" w:fill="F0D67F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0D67F" w:themeColor="accent3" w:themeTint="98" w:fill="F0D67F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E2BDC9" w:themeColor="accent4" w:themeTint="9A"/>
        <w:left w:val="single" w:sz="32" w:space="0" w:color="E2BDC9" w:themeColor="accent4" w:themeTint="9A"/>
        <w:bottom w:val="single" w:sz="32" w:space="0" w:color="E2BDC9" w:themeColor="accent4" w:themeTint="9A"/>
        <w:right w:val="single" w:sz="32" w:space="0" w:color="E2BDC9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2BDC9" w:themeColor="accent4" w:themeTint="9A"/>
          <w:bottom w:val="single" w:sz="12" w:space="0" w:color="FFFFFF" w:themeColor="light1"/>
        </w:tcBorders>
        <w:shd w:val="clear" w:color="E2BDC9" w:themeColor="accent4" w:themeTint="9A" w:fill="E2BDC9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2BDC9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2BDC9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2BDC9" w:themeColor="accent4" w:themeTint="9A" w:fill="E2BDC9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2BDC9" w:themeColor="accent4" w:themeTint="9A" w:fill="E2BDC9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2BDC9" w:themeColor="accent4" w:themeTint="9A" w:fill="E2BDC9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C3B5D8" w:themeColor="accent5" w:themeTint="9A"/>
        <w:left w:val="single" w:sz="32" w:space="0" w:color="C3B5D8" w:themeColor="accent5" w:themeTint="9A"/>
        <w:bottom w:val="single" w:sz="32" w:space="0" w:color="C3B5D8" w:themeColor="accent5" w:themeTint="9A"/>
        <w:right w:val="single" w:sz="32" w:space="0" w:color="C3B5D8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B5D8" w:themeColor="accent5" w:themeTint="9A"/>
          <w:bottom w:val="single" w:sz="12" w:space="0" w:color="FFFFFF" w:themeColor="light1"/>
        </w:tcBorders>
        <w:shd w:val="clear" w:color="C3B5D8" w:themeColor="accent5" w:themeTint="9A" w:fill="C3B5D8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B5D8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B5D8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B5D8" w:themeColor="accent5" w:themeTint="9A" w:fill="C3B5D8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B5D8" w:themeColor="accent5" w:themeTint="9A" w:fill="C3B5D8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B5D8" w:themeColor="accent5" w:themeTint="9A" w:fill="C3B5D8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B3C4DA" w:themeColor="accent6" w:themeTint="98"/>
        <w:left w:val="single" w:sz="32" w:space="0" w:color="B3C4DA" w:themeColor="accent6" w:themeTint="98"/>
        <w:bottom w:val="single" w:sz="32" w:space="0" w:color="B3C4DA" w:themeColor="accent6" w:themeTint="98"/>
        <w:right w:val="single" w:sz="32" w:space="0" w:color="B3C4DA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3C4DA" w:themeColor="accent6" w:themeTint="98"/>
          <w:bottom w:val="single" w:sz="12" w:space="0" w:color="FFFFFF" w:themeColor="light1"/>
        </w:tcBorders>
        <w:shd w:val="clear" w:color="B3C4DA" w:themeColor="accent6" w:themeTint="98" w:fill="B3C4DA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3C4DA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3C4DA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3C4DA" w:themeColor="accent6" w:themeTint="98" w:fill="B3C4DA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3C4DA" w:themeColor="accent6" w:themeTint="98" w:fill="B3C4DA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3C4DA" w:themeColor="accent6" w:themeTint="98" w:fill="B3C4DA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color w:val="60704C" w:themeColor="accent1" w:themeShade="94"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color w:val="60704C" w:themeColor="accent1" w:themeShade="94"/>
      </w:rPr>
      <w:tblPr/>
      <w:tcPr>
        <w:tcBorders>
          <w:top w:val="single" w:sz="4" w:space="0" w:color="A5B592" w:themeColor="accent1"/>
        </w:tcBorders>
      </w:tcPr>
    </w:tblStylePr>
    <w:tblStylePr w:type="firstCol">
      <w:rPr>
        <w:b/>
        <w:color w:val="60704C" w:themeColor="accent1" w:themeShade="94"/>
      </w:rPr>
    </w:tblStylePr>
    <w:tblStylePr w:type="lastCol">
      <w:rPr>
        <w:b/>
        <w:color w:val="60704C" w:themeColor="accent1" w:themeShade="94"/>
      </w:rPr>
    </w:tblStylePr>
    <w:tblStylePr w:type="band1Vert">
      <w:tblPr/>
      <w:tcPr>
        <w:shd w:val="clear" w:color="E8ECE3" w:themeColor="accent1" w:themeTint="40" w:fill="E8ECE3" w:themeFill="accent1" w:themeFillTint="40"/>
      </w:tcPr>
    </w:tblStylePr>
    <w:tblStylePr w:type="band1Horz">
      <w:rPr>
        <w:rFonts w:ascii="Arial" w:hAnsi="Arial"/>
        <w:color w:val="60704C" w:themeColor="accent1" w:themeShade="94"/>
        <w:sz w:val="22"/>
      </w:rPr>
      <w:tblPr/>
      <w:tcPr>
        <w:shd w:val="clear" w:color="E8ECE3" w:themeColor="accent1" w:themeTint="40" w:fill="E8ECE3" w:themeFill="accent1" w:themeFillTint="40"/>
      </w:tcPr>
    </w:tblStylePr>
    <w:tblStylePr w:type="band2Horz">
      <w:rPr>
        <w:rFonts w:ascii="Arial" w:hAnsi="Arial"/>
        <w:color w:val="60704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F8C891" w:themeColor="accent2" w:themeTint="97"/>
        <w:bottom w:val="single" w:sz="4" w:space="0" w:color="F8C891" w:themeColor="accent2" w:themeTint="97"/>
      </w:tblBorders>
    </w:tblPr>
    <w:tblStylePr w:type="firstRow">
      <w:rPr>
        <w:b/>
        <w:color w:val="F8C992" w:themeColor="accent2" w:themeTint="96"/>
      </w:rPr>
      <w:tblPr/>
      <w:tcPr>
        <w:tcBorders>
          <w:bottom w:val="single" w:sz="4" w:space="0" w:color="F8C891" w:themeColor="accent2" w:themeTint="97"/>
        </w:tcBorders>
      </w:tcPr>
    </w:tblStylePr>
    <w:tblStylePr w:type="lastRow">
      <w:rPr>
        <w:b/>
        <w:color w:val="F8C992" w:themeColor="accent2" w:themeTint="96"/>
      </w:rPr>
      <w:tblPr/>
      <w:tcPr>
        <w:tcBorders>
          <w:top w:val="single" w:sz="4" w:space="0" w:color="F8C891" w:themeColor="accent2" w:themeTint="97"/>
        </w:tcBorders>
      </w:tcPr>
    </w:tblStylePr>
    <w:tblStylePr w:type="firstCol">
      <w:rPr>
        <w:b/>
        <w:color w:val="F8C992" w:themeColor="accent2" w:themeTint="96"/>
      </w:rPr>
    </w:tblStylePr>
    <w:tblStylePr w:type="lastCol">
      <w:rPr>
        <w:b/>
        <w:color w:val="F8C992" w:themeColor="accent2" w:themeTint="96"/>
      </w:rPr>
    </w:tblStylePr>
    <w:tblStylePr w:type="band1Vert">
      <w:tblPr/>
      <w:tcPr>
        <w:shd w:val="clear" w:color="FCE7D0" w:themeColor="accent2" w:themeTint="40" w:fill="FCE7D0" w:themeFill="accent2" w:themeFillTint="40"/>
      </w:tcPr>
    </w:tblStylePr>
    <w:tblStylePr w:type="band1Horz">
      <w:rPr>
        <w:rFonts w:ascii="Arial" w:hAnsi="Arial"/>
        <w:color w:val="F8C992" w:themeColor="accent2" w:themeTint="96"/>
        <w:sz w:val="22"/>
      </w:rPr>
      <w:tblPr/>
      <w:tcPr>
        <w:shd w:val="clear" w:color="FCE7D0" w:themeColor="accent2" w:themeTint="40" w:fill="FCE7D0" w:themeFill="accent2" w:themeFillTint="40"/>
      </w:tcPr>
    </w:tblStylePr>
    <w:tblStylePr w:type="band2Horz">
      <w:rPr>
        <w:rFonts w:ascii="Arial" w:hAnsi="Arial"/>
        <w:color w:val="F8C992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F0D67F" w:themeColor="accent3" w:themeTint="98"/>
        <w:bottom w:val="single" w:sz="4" w:space="0" w:color="F0D67F" w:themeColor="accent3" w:themeTint="98"/>
      </w:tblBorders>
    </w:tblPr>
    <w:tblStylePr w:type="firstRow">
      <w:rPr>
        <w:b/>
        <w:color w:val="F0D67E" w:themeColor="accent3" w:themeTint="99"/>
      </w:rPr>
      <w:tblPr/>
      <w:tcPr>
        <w:tcBorders>
          <w:bottom w:val="single" w:sz="4" w:space="0" w:color="F0D67F" w:themeColor="accent3" w:themeTint="98"/>
        </w:tcBorders>
      </w:tcPr>
    </w:tblStylePr>
    <w:tblStylePr w:type="lastRow">
      <w:rPr>
        <w:b/>
        <w:color w:val="F0D67E" w:themeColor="accent3" w:themeTint="99"/>
      </w:rPr>
      <w:tblPr/>
      <w:tcPr>
        <w:tcBorders>
          <w:top w:val="single" w:sz="4" w:space="0" w:color="F0D67F" w:themeColor="accent3" w:themeTint="98"/>
        </w:tcBorders>
      </w:tcPr>
    </w:tblStylePr>
    <w:tblStylePr w:type="firstCol">
      <w:rPr>
        <w:b/>
        <w:color w:val="F0D67E" w:themeColor="accent3" w:themeTint="99"/>
      </w:rPr>
    </w:tblStylePr>
    <w:tblStylePr w:type="lastCol">
      <w:rPr>
        <w:b/>
        <w:color w:val="F0D67E" w:themeColor="accent3" w:themeTint="99"/>
      </w:rPr>
    </w:tblStylePr>
    <w:tblStylePr w:type="band1Vert">
      <w:tblPr/>
      <w:tcPr>
        <w:shd w:val="clear" w:color="F9EEC9" w:themeColor="accent3" w:themeTint="40" w:fill="F9EEC9" w:themeFill="accent3" w:themeFillTint="40"/>
      </w:tcPr>
    </w:tblStylePr>
    <w:tblStylePr w:type="band1Horz">
      <w:rPr>
        <w:rFonts w:ascii="Arial" w:hAnsi="Arial"/>
        <w:color w:val="F0D67E" w:themeColor="accent3" w:themeTint="99"/>
        <w:sz w:val="22"/>
      </w:rPr>
      <w:tblPr/>
      <w:tcPr>
        <w:shd w:val="clear" w:color="F9EEC9" w:themeColor="accent3" w:themeTint="40" w:fill="F9EEC9" w:themeFill="accent3" w:themeFillTint="40"/>
      </w:tcPr>
    </w:tblStylePr>
    <w:tblStylePr w:type="band2Horz">
      <w:rPr>
        <w:rFonts w:ascii="Arial" w:hAnsi="Arial"/>
        <w:color w:val="F0D67E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E2BDC9" w:themeColor="accent4" w:themeTint="9A"/>
        <w:bottom w:val="single" w:sz="4" w:space="0" w:color="E2BDC9" w:themeColor="accent4" w:themeTint="9A"/>
      </w:tblBorders>
    </w:tblPr>
    <w:tblStylePr w:type="firstRow">
      <w:rPr>
        <w:b/>
        <w:color w:val="E2BDCA" w:themeColor="accent4" w:themeTint="99"/>
      </w:rPr>
      <w:tblPr/>
      <w:tcPr>
        <w:tcBorders>
          <w:bottom w:val="single" w:sz="4" w:space="0" w:color="E2BDC9" w:themeColor="accent4" w:themeTint="9A"/>
        </w:tcBorders>
      </w:tcPr>
    </w:tblStylePr>
    <w:tblStylePr w:type="lastRow">
      <w:rPr>
        <w:b/>
        <w:color w:val="E2BDCA" w:themeColor="accent4" w:themeTint="99"/>
      </w:rPr>
      <w:tblPr/>
      <w:tcPr>
        <w:tcBorders>
          <w:top w:val="single" w:sz="4" w:space="0" w:color="E2BDC9" w:themeColor="accent4" w:themeTint="9A"/>
        </w:tcBorders>
      </w:tcPr>
    </w:tblStylePr>
    <w:tblStylePr w:type="firstCol">
      <w:rPr>
        <w:b/>
        <w:color w:val="E2BDCA" w:themeColor="accent4" w:themeTint="99"/>
      </w:rPr>
    </w:tblStylePr>
    <w:tblStylePr w:type="lastCol">
      <w:rPr>
        <w:b/>
        <w:color w:val="E2BDCA" w:themeColor="accent4" w:themeTint="99"/>
      </w:rPr>
    </w:tblStylePr>
    <w:tblStylePr w:type="band1Vert">
      <w:tblPr/>
      <w:tcPr>
        <w:shd w:val="clear" w:color="F3E3E8" w:themeColor="accent4" w:themeTint="40" w:fill="F3E3E8" w:themeFill="accent4" w:themeFillTint="40"/>
      </w:tcPr>
    </w:tblStylePr>
    <w:tblStylePr w:type="band1Horz">
      <w:rPr>
        <w:rFonts w:ascii="Arial" w:hAnsi="Arial"/>
        <w:color w:val="E2BDCA" w:themeColor="accent4" w:themeTint="99"/>
        <w:sz w:val="22"/>
      </w:rPr>
      <w:tblPr/>
      <w:tcPr>
        <w:shd w:val="clear" w:color="F3E3E8" w:themeColor="accent4" w:themeTint="40" w:fill="F3E3E8" w:themeFill="accent4" w:themeFillTint="40"/>
      </w:tcPr>
    </w:tblStylePr>
    <w:tblStylePr w:type="band2Horz">
      <w:rPr>
        <w:rFonts w:ascii="Arial" w:hAnsi="Arial"/>
        <w:color w:val="E2BDCA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C3B5D8" w:themeColor="accent5" w:themeTint="9A"/>
        <w:bottom w:val="single" w:sz="4" w:space="0" w:color="C3B5D8" w:themeColor="accent5" w:themeTint="9A"/>
      </w:tblBorders>
    </w:tblPr>
    <w:tblStylePr w:type="firstRow">
      <w:rPr>
        <w:b/>
        <w:color w:val="C3B5D9" w:themeColor="accent5" w:themeTint="99"/>
      </w:rPr>
      <w:tblPr/>
      <w:tcPr>
        <w:tcBorders>
          <w:bottom w:val="single" w:sz="4" w:space="0" w:color="C3B5D8" w:themeColor="accent5" w:themeTint="9A"/>
        </w:tcBorders>
      </w:tcPr>
    </w:tblStylePr>
    <w:tblStylePr w:type="lastRow">
      <w:rPr>
        <w:b/>
        <w:color w:val="C3B5D9" w:themeColor="accent5" w:themeTint="99"/>
      </w:rPr>
      <w:tblPr/>
      <w:tcPr>
        <w:tcBorders>
          <w:top w:val="single" w:sz="4" w:space="0" w:color="C3B5D8" w:themeColor="accent5" w:themeTint="9A"/>
        </w:tcBorders>
      </w:tcPr>
    </w:tblStylePr>
    <w:tblStylePr w:type="firstCol">
      <w:rPr>
        <w:b/>
        <w:color w:val="C3B5D9" w:themeColor="accent5" w:themeTint="99"/>
      </w:rPr>
    </w:tblStylePr>
    <w:tblStylePr w:type="lastCol">
      <w:rPr>
        <w:b/>
        <w:color w:val="C3B5D9" w:themeColor="accent5" w:themeTint="99"/>
      </w:rPr>
    </w:tblStylePr>
    <w:tblStylePr w:type="band1Vert">
      <w:tblPr/>
      <w:tcPr>
        <w:shd w:val="clear" w:color="E5E0EF" w:themeColor="accent5" w:themeTint="40" w:fill="E5E0EF" w:themeFill="accent5" w:themeFillTint="40"/>
      </w:tcPr>
    </w:tblStylePr>
    <w:tblStylePr w:type="band1Horz">
      <w:rPr>
        <w:rFonts w:ascii="Arial" w:hAnsi="Arial"/>
        <w:color w:val="C3B5D9" w:themeColor="accent5" w:themeTint="99"/>
        <w:sz w:val="22"/>
      </w:rPr>
      <w:tblPr/>
      <w:tcPr>
        <w:shd w:val="clear" w:color="E5E0EF" w:themeColor="accent5" w:themeTint="40" w:fill="E5E0EF" w:themeFill="accent5" w:themeFillTint="40"/>
      </w:tcPr>
    </w:tblStylePr>
    <w:tblStylePr w:type="band2Horz">
      <w:rPr>
        <w:rFonts w:ascii="Arial" w:hAnsi="Arial"/>
        <w:color w:val="C3B5D9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B3C4DA" w:themeColor="accent6" w:themeTint="98"/>
        <w:bottom w:val="single" w:sz="4" w:space="0" w:color="B3C4DA" w:themeColor="accent6" w:themeTint="98"/>
      </w:tblBorders>
    </w:tblPr>
    <w:tblStylePr w:type="firstRow">
      <w:rPr>
        <w:b/>
        <w:color w:val="B2C4DA" w:themeColor="accent6" w:themeTint="99"/>
      </w:rPr>
      <w:tblPr/>
      <w:tcPr>
        <w:tcBorders>
          <w:bottom w:val="single" w:sz="4" w:space="0" w:color="B3C4DA" w:themeColor="accent6" w:themeTint="98"/>
        </w:tcBorders>
      </w:tcPr>
    </w:tblStylePr>
    <w:tblStylePr w:type="lastRow">
      <w:rPr>
        <w:b/>
        <w:color w:val="B2C4DA" w:themeColor="accent6" w:themeTint="99"/>
      </w:rPr>
      <w:tblPr/>
      <w:tcPr>
        <w:tcBorders>
          <w:top w:val="single" w:sz="4" w:space="0" w:color="B3C4DA" w:themeColor="accent6" w:themeTint="98"/>
        </w:tcBorders>
      </w:tcPr>
    </w:tblStylePr>
    <w:tblStylePr w:type="firstCol">
      <w:rPr>
        <w:b/>
        <w:color w:val="B2C4DA" w:themeColor="accent6" w:themeTint="99"/>
      </w:rPr>
    </w:tblStylePr>
    <w:tblStylePr w:type="lastCol">
      <w:rPr>
        <w:b/>
        <w:color w:val="B2C4DA" w:themeColor="accent6" w:themeTint="99"/>
      </w:rPr>
    </w:tblStylePr>
    <w:tblStylePr w:type="band1Vert">
      <w:tblPr/>
      <w:tcPr>
        <w:shd w:val="clear" w:color="DFE6EF" w:themeColor="accent6" w:themeTint="40" w:fill="DFE6EF" w:themeFill="accent6" w:themeFillTint="40"/>
      </w:tcPr>
    </w:tblStylePr>
    <w:tblStylePr w:type="band1Horz">
      <w:rPr>
        <w:rFonts w:ascii="Arial" w:hAnsi="Arial"/>
        <w:color w:val="B2C4DA" w:themeColor="accent6" w:themeTint="99"/>
        <w:sz w:val="22"/>
      </w:rPr>
      <w:tblPr/>
      <w:tcPr>
        <w:shd w:val="clear" w:color="DFE6EF" w:themeColor="accent6" w:themeTint="40" w:fill="DFE6EF" w:themeFill="accent6" w:themeFillTint="40"/>
      </w:tcPr>
    </w:tblStylePr>
    <w:tblStylePr w:type="band2Horz">
      <w:rPr>
        <w:rFonts w:ascii="Arial" w:hAnsi="Arial"/>
        <w:color w:val="B2C4DA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A5B592" w:themeColor="accent1"/>
      </w:tblBorders>
    </w:tblPr>
    <w:tblStylePr w:type="firstRow">
      <w:rPr>
        <w:rFonts w:ascii="Arial" w:hAnsi="Arial"/>
        <w:i/>
        <w:color w:val="60704C" w:themeColor="accent1" w:themeShade="94"/>
        <w:sz w:val="22"/>
      </w:rPr>
      <w:tblPr/>
      <w:tcPr>
        <w:tcBorders>
          <w:top w:val="nil"/>
          <w:left w:val="nil"/>
          <w:bottom w:val="single" w:sz="4" w:space="0" w:color="A5B592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60704C" w:themeColor="accent1" w:themeShade="94"/>
        <w:sz w:val="22"/>
      </w:rPr>
      <w:tblPr/>
      <w:tcPr>
        <w:tcBorders>
          <w:top w:val="single" w:sz="4" w:space="0" w:color="A5B592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0704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5B59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60704C" w:themeColor="accent1" w:themeShade="94"/>
        <w:sz w:val="22"/>
      </w:rPr>
      <w:tblPr/>
      <w:tcPr>
        <w:tcBorders>
          <w:top w:val="nil"/>
          <w:left w:val="single" w:sz="4" w:space="0" w:color="A5B592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CE3" w:themeColor="accent1" w:themeTint="40" w:fill="E8ECE3" w:themeFill="accent1" w:themeFillTint="40"/>
      </w:tcPr>
    </w:tblStylePr>
    <w:tblStylePr w:type="band1Horz">
      <w:rPr>
        <w:rFonts w:ascii="Arial" w:hAnsi="Arial"/>
        <w:color w:val="60704C" w:themeColor="accent1" w:themeShade="94"/>
        <w:sz w:val="22"/>
      </w:rPr>
      <w:tblPr/>
      <w:tcPr>
        <w:shd w:val="clear" w:color="E8ECE3" w:themeColor="accent1" w:themeTint="40" w:fill="E8ECE3" w:themeFill="accent1" w:themeFillTint="40"/>
      </w:tcPr>
    </w:tblStylePr>
    <w:tblStylePr w:type="band2Horz">
      <w:rPr>
        <w:rFonts w:ascii="Arial" w:hAnsi="Arial"/>
        <w:color w:val="60704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F8C891" w:themeColor="accent2" w:themeTint="97"/>
      </w:tblBorders>
    </w:tblPr>
    <w:tblStylePr w:type="firstRow">
      <w:rPr>
        <w:rFonts w:ascii="Arial" w:hAnsi="Arial"/>
        <w:i/>
        <w:color w:val="F8C992" w:themeColor="accent2" w:themeTint="96"/>
        <w:sz w:val="22"/>
      </w:rPr>
      <w:tblPr/>
      <w:tcPr>
        <w:tcBorders>
          <w:top w:val="nil"/>
          <w:left w:val="nil"/>
          <w:bottom w:val="single" w:sz="4" w:space="0" w:color="F8C891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8C992" w:themeColor="accent2" w:themeTint="96"/>
        <w:sz w:val="22"/>
      </w:rPr>
      <w:tblPr/>
      <w:tcPr>
        <w:tcBorders>
          <w:top w:val="single" w:sz="4" w:space="0" w:color="F8C891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8C992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8C891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8C992" w:themeColor="accent2" w:themeTint="96"/>
        <w:sz w:val="22"/>
      </w:rPr>
      <w:tblPr/>
      <w:tcPr>
        <w:tcBorders>
          <w:top w:val="nil"/>
          <w:left w:val="single" w:sz="4" w:space="0" w:color="F8C891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CE7D0" w:themeColor="accent2" w:themeTint="40" w:fill="FCE7D0" w:themeFill="accent2" w:themeFillTint="40"/>
      </w:tcPr>
    </w:tblStylePr>
    <w:tblStylePr w:type="band1Horz">
      <w:rPr>
        <w:rFonts w:ascii="Arial" w:hAnsi="Arial"/>
        <w:color w:val="F8C992" w:themeColor="accent2" w:themeTint="96"/>
        <w:sz w:val="22"/>
      </w:rPr>
      <w:tblPr/>
      <w:tcPr>
        <w:shd w:val="clear" w:color="FCE7D0" w:themeColor="accent2" w:themeTint="40" w:fill="FCE7D0" w:themeFill="accent2" w:themeFillTint="40"/>
      </w:tcPr>
    </w:tblStylePr>
    <w:tblStylePr w:type="band2Horz">
      <w:rPr>
        <w:rFonts w:ascii="Arial" w:hAnsi="Arial"/>
        <w:color w:val="F8C992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F0D67F" w:themeColor="accent3" w:themeTint="98"/>
      </w:tblBorders>
    </w:tblPr>
    <w:tblStylePr w:type="firstRow">
      <w:rPr>
        <w:rFonts w:ascii="Arial" w:hAnsi="Arial"/>
        <w:i/>
        <w:color w:val="F0D67E" w:themeColor="accent3" w:themeTint="99"/>
        <w:sz w:val="22"/>
      </w:rPr>
      <w:tblPr/>
      <w:tcPr>
        <w:tcBorders>
          <w:top w:val="nil"/>
          <w:left w:val="nil"/>
          <w:bottom w:val="single" w:sz="4" w:space="0" w:color="F0D67F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0D67E" w:themeColor="accent3" w:themeTint="99"/>
        <w:sz w:val="22"/>
      </w:rPr>
      <w:tblPr/>
      <w:tcPr>
        <w:tcBorders>
          <w:top w:val="single" w:sz="4" w:space="0" w:color="F0D67F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0D67E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F0D67F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0D67E" w:themeColor="accent3" w:themeTint="99"/>
        <w:sz w:val="22"/>
      </w:rPr>
      <w:tblPr/>
      <w:tcPr>
        <w:tcBorders>
          <w:top w:val="nil"/>
          <w:left w:val="single" w:sz="4" w:space="0" w:color="F0D67F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9EEC9" w:themeColor="accent3" w:themeTint="40" w:fill="F9EEC9" w:themeFill="accent3" w:themeFillTint="40"/>
      </w:tcPr>
    </w:tblStylePr>
    <w:tblStylePr w:type="band1Horz">
      <w:rPr>
        <w:rFonts w:ascii="Arial" w:hAnsi="Arial"/>
        <w:color w:val="F0D67E" w:themeColor="accent3" w:themeTint="99"/>
        <w:sz w:val="22"/>
      </w:rPr>
      <w:tblPr/>
      <w:tcPr>
        <w:shd w:val="clear" w:color="F9EEC9" w:themeColor="accent3" w:themeTint="40" w:fill="F9EEC9" w:themeFill="accent3" w:themeFillTint="40"/>
      </w:tcPr>
    </w:tblStylePr>
    <w:tblStylePr w:type="band2Horz">
      <w:rPr>
        <w:rFonts w:ascii="Arial" w:hAnsi="Arial"/>
        <w:color w:val="F0D67E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E2BDC9" w:themeColor="accent4" w:themeTint="9A"/>
      </w:tblBorders>
    </w:tblPr>
    <w:tblStylePr w:type="firstRow">
      <w:rPr>
        <w:rFonts w:ascii="Arial" w:hAnsi="Arial"/>
        <w:i/>
        <w:color w:val="E2BDCA" w:themeColor="accent4" w:themeTint="99"/>
        <w:sz w:val="22"/>
      </w:rPr>
      <w:tblPr/>
      <w:tcPr>
        <w:tcBorders>
          <w:top w:val="nil"/>
          <w:left w:val="nil"/>
          <w:bottom w:val="single" w:sz="4" w:space="0" w:color="E2BDC9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2BDCA" w:themeColor="accent4" w:themeTint="99"/>
        <w:sz w:val="22"/>
      </w:rPr>
      <w:tblPr/>
      <w:tcPr>
        <w:tcBorders>
          <w:top w:val="single" w:sz="4" w:space="0" w:color="E2BDC9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2BDCA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E2BDC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E2BDCA" w:themeColor="accent4" w:themeTint="99"/>
        <w:sz w:val="22"/>
      </w:rPr>
      <w:tblPr/>
      <w:tcPr>
        <w:tcBorders>
          <w:top w:val="nil"/>
          <w:left w:val="single" w:sz="4" w:space="0" w:color="E2BDC9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3E3E8" w:themeColor="accent4" w:themeTint="40" w:fill="F3E3E8" w:themeFill="accent4" w:themeFillTint="40"/>
      </w:tcPr>
    </w:tblStylePr>
    <w:tblStylePr w:type="band1Horz">
      <w:rPr>
        <w:rFonts w:ascii="Arial" w:hAnsi="Arial"/>
        <w:color w:val="E2BDCA" w:themeColor="accent4" w:themeTint="99"/>
        <w:sz w:val="22"/>
      </w:rPr>
      <w:tblPr/>
      <w:tcPr>
        <w:shd w:val="clear" w:color="F3E3E8" w:themeColor="accent4" w:themeTint="40" w:fill="F3E3E8" w:themeFill="accent4" w:themeFillTint="40"/>
      </w:tcPr>
    </w:tblStylePr>
    <w:tblStylePr w:type="band2Horz">
      <w:rPr>
        <w:rFonts w:ascii="Arial" w:hAnsi="Arial"/>
        <w:color w:val="E2BDCA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C3B5D8" w:themeColor="accent5" w:themeTint="9A"/>
      </w:tblBorders>
    </w:tblPr>
    <w:tblStylePr w:type="firstRow">
      <w:rPr>
        <w:rFonts w:ascii="Arial" w:hAnsi="Arial"/>
        <w:i/>
        <w:color w:val="C3B5D9" w:themeColor="accent5" w:themeTint="99"/>
        <w:sz w:val="22"/>
      </w:rPr>
      <w:tblPr/>
      <w:tcPr>
        <w:tcBorders>
          <w:top w:val="nil"/>
          <w:left w:val="nil"/>
          <w:bottom w:val="single" w:sz="4" w:space="0" w:color="C3B5D8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B5D9" w:themeColor="accent5" w:themeTint="99"/>
        <w:sz w:val="22"/>
      </w:rPr>
      <w:tblPr/>
      <w:tcPr>
        <w:tcBorders>
          <w:top w:val="single" w:sz="4" w:space="0" w:color="C3B5D8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B5D9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C3B5D8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C3B5D9" w:themeColor="accent5" w:themeTint="99"/>
        <w:sz w:val="22"/>
      </w:rPr>
      <w:tblPr/>
      <w:tcPr>
        <w:tcBorders>
          <w:top w:val="nil"/>
          <w:left w:val="single" w:sz="4" w:space="0" w:color="C3B5D8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0EF" w:themeColor="accent5" w:themeTint="40" w:fill="E5E0EF" w:themeFill="accent5" w:themeFillTint="40"/>
      </w:tcPr>
    </w:tblStylePr>
    <w:tblStylePr w:type="band1Horz">
      <w:rPr>
        <w:rFonts w:ascii="Arial" w:hAnsi="Arial"/>
        <w:color w:val="C3B5D9" w:themeColor="accent5" w:themeTint="99"/>
        <w:sz w:val="22"/>
      </w:rPr>
      <w:tblPr/>
      <w:tcPr>
        <w:shd w:val="clear" w:color="E5E0EF" w:themeColor="accent5" w:themeTint="40" w:fill="E5E0EF" w:themeFill="accent5" w:themeFillTint="40"/>
      </w:tcPr>
    </w:tblStylePr>
    <w:tblStylePr w:type="band2Horz">
      <w:rPr>
        <w:rFonts w:ascii="Arial" w:hAnsi="Arial"/>
        <w:color w:val="C3B5D9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B3C4DA" w:themeColor="accent6" w:themeTint="98"/>
      </w:tblBorders>
    </w:tblPr>
    <w:tblStylePr w:type="firstRow">
      <w:rPr>
        <w:rFonts w:ascii="Arial" w:hAnsi="Arial"/>
        <w:i/>
        <w:color w:val="B2C4DA" w:themeColor="accent6" w:themeTint="99"/>
        <w:sz w:val="22"/>
      </w:rPr>
      <w:tblPr/>
      <w:tcPr>
        <w:tcBorders>
          <w:top w:val="nil"/>
          <w:left w:val="nil"/>
          <w:bottom w:val="single" w:sz="4" w:space="0" w:color="B3C4DA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C4DA" w:themeColor="accent6" w:themeTint="99"/>
        <w:sz w:val="22"/>
      </w:rPr>
      <w:tblPr/>
      <w:tcPr>
        <w:tcBorders>
          <w:top w:val="single" w:sz="4" w:space="0" w:color="B3C4DA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C4DA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B3C4DA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B2C4DA" w:themeColor="accent6" w:themeTint="99"/>
        <w:sz w:val="22"/>
      </w:rPr>
      <w:tblPr/>
      <w:tcPr>
        <w:tcBorders>
          <w:top w:val="nil"/>
          <w:left w:val="single" w:sz="4" w:space="0" w:color="B3C4DA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E6EF" w:themeColor="accent6" w:themeTint="40" w:fill="DFE6EF" w:themeFill="accent6" w:themeFillTint="40"/>
      </w:tcPr>
    </w:tblStylePr>
    <w:tblStylePr w:type="band1Horz">
      <w:rPr>
        <w:rFonts w:ascii="Arial" w:hAnsi="Arial"/>
        <w:color w:val="B2C4DA" w:themeColor="accent6" w:themeTint="99"/>
        <w:sz w:val="22"/>
      </w:rPr>
      <w:tblPr/>
      <w:tcPr>
        <w:shd w:val="clear" w:color="DFE6EF" w:themeColor="accent6" w:themeTint="40" w:fill="DFE6EF" w:themeFill="accent6" w:themeFillTint="40"/>
      </w:tcPr>
    </w:tblStylePr>
    <w:tblStylePr w:type="band2Horz">
      <w:rPr>
        <w:rFonts w:ascii="Arial" w:hAnsi="Arial"/>
        <w:color w:val="B2C4DA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2E7DC" w:themeColor="accent1" w:themeTint="50" w:fill="E2E7D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2E7DC" w:themeColor="accent1" w:themeTint="50" w:fill="E2E7DC" w:themeFill="accent1" w:themeFillTint="50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60714D" w:themeColor="accent1" w:themeShade="95"/>
        <w:left w:val="single" w:sz="4" w:space="0" w:color="60714D" w:themeColor="accent1" w:themeShade="95"/>
        <w:bottom w:val="single" w:sz="4" w:space="0" w:color="60714D" w:themeColor="accent1" w:themeShade="95"/>
        <w:right w:val="single" w:sz="4" w:space="0" w:color="60714D" w:themeColor="accent1" w:themeShade="95"/>
        <w:insideH w:val="single" w:sz="4" w:space="0" w:color="60714D" w:themeColor="accent1" w:themeShade="95"/>
        <w:insideV w:val="single" w:sz="4" w:space="0" w:color="60714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CBB9A" w:themeColor="accent1" w:themeTint="EA" w:fill="ACBB9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2E7DC" w:themeColor="accent1" w:themeTint="50" w:fill="E2E7D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2E7DC" w:themeColor="accent1" w:themeTint="50" w:fill="E2E7D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AC610B" w:themeColor="accent2" w:themeShade="95"/>
        <w:left w:val="single" w:sz="4" w:space="0" w:color="AC610B" w:themeColor="accent2" w:themeShade="95"/>
        <w:bottom w:val="single" w:sz="4" w:space="0" w:color="AC610B" w:themeColor="accent2" w:themeShade="95"/>
        <w:right w:val="single" w:sz="4" w:space="0" w:color="AC610B" w:themeColor="accent2" w:themeShade="95"/>
        <w:insideH w:val="single" w:sz="4" w:space="0" w:color="AC610B" w:themeColor="accent2" w:themeShade="95"/>
        <w:insideV w:val="single" w:sz="4" w:space="0" w:color="AC610B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8C891" w:themeColor="accent2" w:themeTint="97" w:fill="F8C891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ECDA" w:themeColor="accent2" w:themeTint="32" w:fill="FCECDA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8E7110" w:themeColor="accent3" w:themeShade="95"/>
        <w:left w:val="single" w:sz="4" w:space="0" w:color="8E7110" w:themeColor="accent3" w:themeShade="95"/>
        <w:bottom w:val="single" w:sz="4" w:space="0" w:color="8E7110" w:themeColor="accent3" w:themeShade="95"/>
        <w:right w:val="single" w:sz="4" w:space="0" w:color="8E7110" w:themeColor="accent3" w:themeShade="95"/>
        <w:insideH w:val="single" w:sz="4" w:space="0" w:color="8E7110" w:themeColor="accent3" w:themeShade="95"/>
        <w:insideV w:val="single" w:sz="4" w:space="0" w:color="8E711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7BC29" w:themeColor="accent3" w:themeTint="FE" w:fill="E7BC2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F1D3" w:themeColor="accent3" w:themeTint="34" w:fill="FAF1D3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903E59" w:themeColor="accent4" w:themeShade="95"/>
        <w:left w:val="single" w:sz="4" w:space="0" w:color="903E59" w:themeColor="accent4" w:themeShade="95"/>
        <w:bottom w:val="single" w:sz="4" w:space="0" w:color="903E59" w:themeColor="accent4" w:themeShade="95"/>
        <w:right w:val="single" w:sz="4" w:space="0" w:color="903E59" w:themeColor="accent4" w:themeShade="95"/>
        <w:insideH w:val="single" w:sz="4" w:space="0" w:color="903E59" w:themeColor="accent4" w:themeShade="95"/>
        <w:insideV w:val="single" w:sz="4" w:space="0" w:color="903E59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2BDC9" w:themeColor="accent4" w:themeTint="9A" w:fill="E2BDC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5E8EC" w:themeColor="accent4" w:themeTint="34" w:fill="F5E8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58407D" w:themeColor="accent5" w:themeShade="95"/>
        <w:left w:val="single" w:sz="4" w:space="0" w:color="58407D" w:themeColor="accent5" w:themeShade="95"/>
        <w:bottom w:val="single" w:sz="4" w:space="0" w:color="58407D" w:themeColor="accent5" w:themeShade="95"/>
        <w:right w:val="single" w:sz="4" w:space="0" w:color="58407D" w:themeColor="accent5" w:themeShade="95"/>
        <w:insideH w:val="single" w:sz="4" w:space="0" w:color="58407D" w:themeColor="accent5" w:themeShade="95"/>
        <w:insideV w:val="single" w:sz="4" w:space="0" w:color="58407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C85C0" w:themeColor="accent5" w:fill="9C85C0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E5F2" w:themeColor="accent5" w:themeTint="34" w:fill="EAE5F2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3D5A7E" w:themeColor="accent6" w:themeShade="95"/>
        <w:left w:val="single" w:sz="4" w:space="0" w:color="3D5A7E" w:themeColor="accent6" w:themeShade="95"/>
        <w:bottom w:val="single" w:sz="4" w:space="0" w:color="3D5A7E" w:themeColor="accent6" w:themeShade="95"/>
        <w:right w:val="single" w:sz="4" w:space="0" w:color="3D5A7E" w:themeColor="accent6" w:themeShade="95"/>
        <w:insideH w:val="single" w:sz="4" w:space="0" w:color="3D5A7E" w:themeColor="accent6" w:themeShade="95"/>
        <w:insideV w:val="single" w:sz="4" w:space="0" w:color="3D5A7E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09EC2" w:themeColor="accent6" w:fill="809EC2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4EAF2" w:themeColor="accent6" w:themeTint="34" w:fill="E4EAF2" w:themeFill="accent6" w:themeFillTint="34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DAE1D2" w:themeColor="accent1" w:themeTint="67"/>
        <w:left w:val="single" w:sz="4" w:space="0" w:color="DAE1D2" w:themeColor="accent1" w:themeTint="67"/>
        <w:bottom w:val="single" w:sz="4" w:space="0" w:color="DAE1D2" w:themeColor="accent1" w:themeTint="67"/>
        <w:right w:val="single" w:sz="4" w:space="0" w:color="DAE1D2" w:themeColor="accent1" w:themeTint="67"/>
        <w:insideH w:val="single" w:sz="4" w:space="0" w:color="DAE1D2" w:themeColor="accent1" w:themeTint="67"/>
        <w:insideV w:val="single" w:sz="4" w:space="0" w:color="DAE1D2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5B59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5B59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5B59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E1D2" w:themeColor="accent1" w:themeTint="67"/>
          <w:left w:val="single" w:sz="4" w:space="0" w:color="DAE1D2" w:themeColor="accent1" w:themeTint="67"/>
          <w:bottom w:val="single" w:sz="4" w:space="0" w:color="DAE1D2" w:themeColor="accent1" w:themeTint="67"/>
          <w:right w:val="single" w:sz="4" w:space="0" w:color="DAE1D2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FAD9B4" w:themeColor="accent2" w:themeTint="67"/>
        <w:left w:val="single" w:sz="4" w:space="0" w:color="FAD9B4" w:themeColor="accent2" w:themeTint="67"/>
        <w:bottom w:val="single" w:sz="4" w:space="0" w:color="FAD9B4" w:themeColor="accent2" w:themeTint="67"/>
        <w:right w:val="single" w:sz="4" w:space="0" w:color="FAD9B4" w:themeColor="accent2" w:themeTint="67"/>
        <w:insideH w:val="single" w:sz="4" w:space="0" w:color="FAD9B4" w:themeColor="accent2" w:themeTint="67"/>
        <w:insideV w:val="single" w:sz="4" w:space="0" w:color="FAD9B4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8C891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8C891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8C89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D9B4" w:themeColor="accent2" w:themeTint="67"/>
          <w:left w:val="single" w:sz="4" w:space="0" w:color="FAD9B4" w:themeColor="accent2" w:themeTint="67"/>
          <w:bottom w:val="single" w:sz="4" w:space="0" w:color="FAD9B4" w:themeColor="accent2" w:themeTint="67"/>
          <w:right w:val="single" w:sz="4" w:space="0" w:color="FAD9B4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F5E3A8" w:themeColor="accent3" w:themeTint="67"/>
        <w:left w:val="single" w:sz="4" w:space="0" w:color="F5E3A8" w:themeColor="accent3" w:themeTint="67"/>
        <w:bottom w:val="single" w:sz="4" w:space="0" w:color="F5E3A8" w:themeColor="accent3" w:themeTint="67"/>
        <w:right w:val="single" w:sz="4" w:space="0" w:color="F5E3A8" w:themeColor="accent3" w:themeTint="67"/>
        <w:insideH w:val="single" w:sz="4" w:space="0" w:color="F5E3A8" w:themeColor="accent3" w:themeTint="67"/>
        <w:insideV w:val="single" w:sz="4" w:space="0" w:color="F5E3A8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0D67F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0D67F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0D67F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E3A8" w:themeColor="accent3" w:themeTint="67"/>
          <w:left w:val="single" w:sz="4" w:space="0" w:color="F5E3A8" w:themeColor="accent3" w:themeTint="67"/>
          <w:bottom w:val="single" w:sz="4" w:space="0" w:color="F5E3A8" w:themeColor="accent3" w:themeTint="67"/>
          <w:right w:val="single" w:sz="4" w:space="0" w:color="F5E3A8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ECD2DB" w:themeColor="accent4" w:themeTint="67"/>
        <w:left w:val="single" w:sz="4" w:space="0" w:color="ECD2DB" w:themeColor="accent4" w:themeTint="67"/>
        <w:bottom w:val="single" w:sz="4" w:space="0" w:color="ECD2DB" w:themeColor="accent4" w:themeTint="67"/>
        <w:right w:val="single" w:sz="4" w:space="0" w:color="ECD2DB" w:themeColor="accent4" w:themeTint="67"/>
        <w:insideH w:val="single" w:sz="4" w:space="0" w:color="ECD2DB" w:themeColor="accent4" w:themeTint="67"/>
        <w:insideV w:val="single" w:sz="4" w:space="0" w:color="ECD2DB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2BDC9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2BDC9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2BDC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D2DB" w:themeColor="accent4" w:themeTint="67"/>
          <w:left w:val="single" w:sz="4" w:space="0" w:color="ECD2DB" w:themeColor="accent4" w:themeTint="67"/>
          <w:bottom w:val="single" w:sz="4" w:space="0" w:color="ECD2DB" w:themeColor="accent4" w:themeTint="67"/>
          <w:right w:val="single" w:sz="4" w:space="0" w:color="ECD2DB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D6CDE5" w:themeColor="accent5" w:themeTint="67"/>
        <w:left w:val="single" w:sz="4" w:space="0" w:color="D6CDE5" w:themeColor="accent5" w:themeTint="67"/>
        <w:bottom w:val="single" w:sz="4" w:space="0" w:color="D6CDE5" w:themeColor="accent5" w:themeTint="67"/>
        <w:right w:val="single" w:sz="4" w:space="0" w:color="D6CDE5" w:themeColor="accent5" w:themeTint="67"/>
        <w:insideH w:val="single" w:sz="4" w:space="0" w:color="D6CDE5" w:themeColor="accent5" w:themeTint="67"/>
        <w:insideV w:val="single" w:sz="4" w:space="0" w:color="D6CDE5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B5D8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B5D8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B5D8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CDE5" w:themeColor="accent5" w:themeTint="67"/>
          <w:left w:val="single" w:sz="4" w:space="0" w:color="D6CDE5" w:themeColor="accent5" w:themeTint="67"/>
          <w:bottom w:val="single" w:sz="4" w:space="0" w:color="D6CDE5" w:themeColor="accent5" w:themeTint="67"/>
          <w:right w:val="single" w:sz="4" w:space="0" w:color="D6CDE5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CBD7E6" w:themeColor="accent6" w:themeTint="67"/>
        <w:left w:val="single" w:sz="4" w:space="0" w:color="CBD7E6" w:themeColor="accent6" w:themeTint="67"/>
        <w:bottom w:val="single" w:sz="4" w:space="0" w:color="CBD7E6" w:themeColor="accent6" w:themeTint="67"/>
        <w:right w:val="single" w:sz="4" w:space="0" w:color="CBD7E6" w:themeColor="accent6" w:themeTint="67"/>
        <w:insideH w:val="single" w:sz="4" w:space="0" w:color="CBD7E6" w:themeColor="accent6" w:themeTint="67"/>
        <w:insideV w:val="single" w:sz="4" w:space="0" w:color="CBD7E6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3C4DA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3C4DA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3C4D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D7E6" w:themeColor="accent6" w:themeTint="67"/>
          <w:left w:val="single" w:sz="4" w:space="0" w:color="CBD7E6" w:themeColor="accent6" w:themeTint="67"/>
          <w:bottom w:val="single" w:sz="4" w:space="0" w:color="CBD7E6" w:themeColor="accent6" w:themeTint="67"/>
          <w:right w:val="single" w:sz="4" w:space="0" w:color="CBD7E6" w:themeColor="accent6" w:themeTint="67"/>
        </w:tcBorders>
      </w:tcPr>
    </w:tblStylePr>
  </w:style>
  <w:style w:type="character" w:customStyle="1" w:styleId="aa">
    <w:name w:val="Текст сноски Знак"/>
    <w:link w:val="a9"/>
    <w:uiPriority w:val="99"/>
    <w:qFormat/>
    <w:rPr>
      <w:sz w:val="18"/>
    </w:rPr>
  </w:style>
  <w:style w:type="character" w:customStyle="1" w:styleId="a7">
    <w:name w:val="Текст концевой сноски Знак"/>
    <w:link w:val="a6"/>
    <w:uiPriority w:val="99"/>
    <w:qFormat/>
    <w:rPr>
      <w:sz w:val="20"/>
    </w:rPr>
  </w:style>
  <w:style w:type="paragraph" w:customStyle="1" w:styleId="12">
    <w:name w:val="Заголовок оглавления1"/>
    <w:uiPriority w:val="39"/>
    <w:unhideWhenUsed/>
    <w:qFormat/>
    <w:pPr>
      <w:spacing w:after="160" w:line="259" w:lineRule="auto"/>
    </w:pPr>
    <w:rPr>
      <w:sz w:val="22"/>
      <w:szCs w:val="22"/>
      <w:lang w:eastAsia="zh-CN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Gen1">
    <w:name w:val="StGen1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3">
    <w:name w:val="StGen3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4">
    <w:name w:val="StGen4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5">
    <w:name w:val="StGen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Gen6">
    <w:name w:val="StGen6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7">
    <w:name w:val="StGen7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rmal (Web)"/>
    <w:basedOn w:val="a"/>
    <w:uiPriority w:val="99"/>
    <w:semiHidden/>
    <w:unhideWhenUsed/>
    <w:rsid w:val="00946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chart" Target="charts/chart4.xml"/><Relationship Id="rId18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150000000000003E-2"/>
          <c:y val="0.15737000000000001"/>
          <c:w val="0.85699000000000003"/>
          <c:h val="0.67100000000000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номинация </c:v>
                </c:pt>
                <c:pt idx="4">
                  <c:v>участие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51</c:v>
                </c:pt>
                <c:pt idx="1">
                  <c:v>16</c:v>
                </c:pt>
                <c:pt idx="2">
                  <c:v>12</c:v>
                </c:pt>
                <c:pt idx="3">
                  <c:v>7</c:v>
                </c:pt>
                <c:pt idx="4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73-4CC0-BF93-DF2F2C63FDA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номинация </c:v>
                </c:pt>
                <c:pt idx="4">
                  <c:v>участие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14</c:v>
                </c:pt>
                <c:pt idx="1">
                  <c:v>12</c:v>
                </c:pt>
                <c:pt idx="2">
                  <c:v>11</c:v>
                </c:pt>
                <c:pt idx="3">
                  <c:v>7</c:v>
                </c:pt>
                <c:pt idx="4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73-4CC0-BF93-DF2F2C63FDA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номинация </c:v>
                </c:pt>
                <c:pt idx="4">
                  <c:v>участие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1773-4CC0-BF93-DF2F2C63FD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66170024"/>
        <c:axId val="1866170025"/>
      </c:barChart>
      <c:catAx>
        <c:axId val="1866170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70025"/>
        <c:crosses val="autoZero"/>
        <c:auto val="1"/>
        <c:lblAlgn val="ctr"/>
        <c:lblOffset val="100"/>
        <c:noMultiLvlLbl val="0"/>
      </c:catAx>
      <c:valAx>
        <c:axId val="186617002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70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</c:spPr>
  <c:txPr>
    <a:bodyPr/>
    <a:lstStyle/>
    <a:p>
      <a:pPr>
        <a:defRPr lang="ru-RU"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Участие в мкс “12-12” </a:t>
            </a:r>
          </a:p>
        </c:rich>
      </c:tx>
      <c:layout>
        <c:manualLayout>
          <c:xMode val="edge"/>
          <c:yMode val="edge"/>
          <c:x val="0.2291372511138336"/>
          <c:y val="2.9834456304202804E-2"/>
        </c:manualLayout>
      </c:layout>
      <c:overlay val="0"/>
      <c:spPr>
        <a:noFill/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ru-RU" sz="12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C9-416D-A404-486A4AD06D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участие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C9-416D-A404-486A4AD06D0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участие 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C9-416D-A404-486A4AD06D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66169957"/>
        <c:axId val="1866169958"/>
      </c:barChart>
      <c:catAx>
        <c:axId val="186616995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66169958"/>
        <c:crosses val="autoZero"/>
        <c:auto val="1"/>
        <c:lblAlgn val="ctr"/>
        <c:lblOffset val="100"/>
        <c:noMultiLvlLbl val="0"/>
      </c:catAx>
      <c:valAx>
        <c:axId val="186616995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95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</c:spPr>
  <c:txPr>
    <a:bodyPr/>
    <a:lstStyle/>
    <a:p>
      <a:pPr>
        <a:defRPr lang="ru-RU"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Победители в мкс “12-12”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победители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F2-4AF6-8987-7FC142911E5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победители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F2-4AF6-8987-7FC142911E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66169959"/>
        <c:axId val="1866169960"/>
      </c:barChart>
      <c:catAx>
        <c:axId val="186616995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66169960"/>
        <c:crosses val="autoZero"/>
        <c:auto val="1"/>
        <c:lblAlgn val="ctr"/>
        <c:lblOffset val="100"/>
        <c:noMultiLvlLbl val="0"/>
      </c:catAx>
      <c:valAx>
        <c:axId val="1866169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959"/>
        <c:crosses val="autoZero"/>
        <c:crossBetween val="between"/>
      </c:valAx>
      <c:spPr>
        <a:noFill/>
        <a:ln>
          <a:noFill/>
          <a:miter/>
        </a:ln>
        <a:effectLst/>
      </c:spPr>
    </c:plotArea>
    <c:legend>
      <c:legendPos val="b"/>
      <c:layout>
        <c:manualLayout>
          <c:xMode val="edge"/>
          <c:yMode val="edge"/>
          <c:x val="0.34511218875540139"/>
          <c:y val="0.89605052279822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</c:spPr>
  <c:txPr>
    <a:bodyPr/>
    <a:lstStyle/>
    <a:p>
      <a:pPr>
        <a:defRPr lang="ru-RU"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059999999999998E-2"/>
          <c:y val="8.8510000000000005E-2"/>
          <c:w val="0.88107000000000002"/>
          <c:h val="0.7153300000000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gradFill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57-4CA6-8D4B-D33364A20EC9}"/>
                </c:ext>
              </c:extLst>
            </c:dLbl>
            <c:spPr>
              <a:noFill/>
              <a:ln>
                <a:noFill/>
                <a:miter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'Лист1'!$B$2:$B$3</c:f>
              <c:numCache>
                <c:formatCode>0</c:formatCode>
                <c:ptCount val="2"/>
                <c:pt idx="0" formatCode="General">
                  <c:v>25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57-4CA6-8D4B-D33364A20EC9}"/>
            </c:ext>
          </c:extLst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gradFill>
              <a:gsLst>
                <a:gs pos="0">
                  <a:schemeClr val="accent2">
                    <a:tint val="100000"/>
                    <a:shade val="100000"/>
                    <a:satMod val="130000"/>
                  </a:schemeClr>
                </a:gs>
                <a:gs pos="100000">
                  <a:schemeClr val="accent2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57-4CA6-8D4B-D33364A20E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'Лист1'!$C$2:$C$3</c:f>
              <c:numCache>
                <c:formatCode>0</c:formatCode>
                <c:ptCount val="2"/>
                <c:pt idx="0" formatCode="General">
                  <c:v>46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57-4CA6-8D4B-D33364A20EC9}"/>
            </c:ext>
          </c:extLst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gradFill>
              <a:gsLst>
                <a:gs pos="0">
                  <a:schemeClr val="accent3">
                    <a:tint val="100000"/>
                    <a:shade val="100000"/>
                    <a:satMod val="130000"/>
                  </a:schemeClr>
                </a:gs>
                <a:gs pos="100000">
                  <a:schemeClr val="accent3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'Лист1'!$D$2:$D$3</c:f>
              <c:numCache>
                <c:formatCode>0</c:formatCode>
                <c:ptCount val="2"/>
                <c:pt idx="0" formatCode="General">
                  <c:v>30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57-4CA6-8D4B-D33364A20E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1"/>
        <c:axId val="1866169905"/>
        <c:axId val="1866169906"/>
      </c:barChart>
      <c:catAx>
        <c:axId val="186616990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2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906"/>
        <c:crosses val="autoZero"/>
        <c:auto val="1"/>
        <c:lblAlgn val="ctr"/>
        <c:lblOffset val="100"/>
        <c:noMultiLvlLbl val="0"/>
      </c:catAx>
      <c:valAx>
        <c:axId val="186616990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2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90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 sz="900">
          <a:solidFill>
            <a:schemeClr val="tx2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959999999999997E-2"/>
          <c:y val="7.9670000000000005E-2"/>
          <c:w val="0.89622000000000002"/>
          <c:h val="0.72911000000000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менее 5 лет</c:v>
                </c:pt>
              </c:strCache>
            </c:strRef>
          </c:tx>
          <c:spPr>
            <a:gradFill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  <a:miter/>
            </a:ln>
            <a:effectLst/>
          </c:spPr>
          <c:invertIfNegative val="0"/>
          <c:dLbls>
            <c:spPr>
              <a:noFill/>
              <a:ln>
                <a:noFill/>
                <a:round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18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D0-45FA-8FDF-5F44C9EA945D}"/>
            </c:ext>
          </c:extLst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6-10 лет</c:v>
                </c:pt>
              </c:strCache>
            </c:strRef>
          </c:tx>
          <c:spPr>
            <a:gradFill>
              <a:gsLst>
                <a:gs pos="0">
                  <a:schemeClr val="accent2">
                    <a:tint val="100000"/>
                    <a:shade val="100000"/>
                    <a:satMod val="130000"/>
                  </a:schemeClr>
                </a:gs>
                <a:gs pos="100000">
                  <a:schemeClr val="accent2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11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D0-45FA-8FDF-5F44C9EA945D}"/>
            </c:ext>
          </c:extLst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11-20 лет</c:v>
                </c:pt>
              </c:strCache>
            </c:strRef>
          </c:tx>
          <c:spPr>
            <a:gradFill>
              <a:gsLst>
                <a:gs pos="0">
                  <a:schemeClr val="accent3">
                    <a:tint val="100000"/>
                    <a:shade val="100000"/>
                    <a:satMod val="130000"/>
                  </a:schemeClr>
                </a:gs>
                <a:gs pos="100000">
                  <a:schemeClr val="accent3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'Лист1'!$D$2:$D$3</c:f>
              <c:numCache>
                <c:formatCode>General</c:formatCode>
                <c:ptCount val="2"/>
                <c:pt idx="0">
                  <c:v>26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D0-45FA-8FDF-5F44C9EA945D}"/>
            </c:ext>
          </c:extLst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>более 20 лет</c:v>
                </c:pt>
              </c:strCache>
            </c:strRef>
          </c:tx>
          <c:spPr>
            <a:gradFill>
              <a:gsLst>
                <a:gs pos="0">
                  <a:schemeClr val="accent4"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'Лист1'!$A$2:$A$3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'Лист1'!$E$2:$E$3</c:f>
              <c:numCache>
                <c:formatCode>General</c:formatCode>
                <c:ptCount val="2"/>
                <c:pt idx="0">
                  <c:v>47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D0-45FA-8FDF-5F44C9EA94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2"/>
        <c:axId val="1866169477"/>
        <c:axId val="1866169478"/>
      </c:barChart>
      <c:catAx>
        <c:axId val="186616947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2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478"/>
        <c:crosses val="autoZero"/>
        <c:auto val="1"/>
        <c:lblAlgn val="ctr"/>
        <c:lblOffset val="100"/>
        <c:noMultiLvlLbl val="0"/>
      </c:catAx>
      <c:valAx>
        <c:axId val="186616947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2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47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 sz="900">
          <a:solidFill>
            <a:schemeClr val="tx2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199999999999996E-2"/>
          <c:y val="0.14848"/>
          <c:w val="0.91022000000000003"/>
          <c:h val="0.68901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gradFill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C6-4C62-89D9-0D4B80C601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25-35 лет</c:v>
                </c:pt>
              </c:strCache>
            </c:strRef>
          </c:tx>
          <c:spPr>
            <a:gradFill>
              <a:gsLst>
                <a:gs pos="0">
                  <a:schemeClr val="accent2">
                    <a:tint val="100000"/>
                    <a:shade val="100000"/>
                    <a:satMod val="130000"/>
                  </a:schemeClr>
                </a:gs>
                <a:gs pos="100000">
                  <a:schemeClr val="accent2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2"/>
                <c:pt idx="0">
                  <c:v>21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C6-4C62-89D9-0D4B80C601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35-50 лет</c:v>
                </c:pt>
              </c:strCache>
            </c:strRef>
          </c:tx>
          <c:spPr>
            <a:gradFill>
              <a:gsLst>
                <a:gs pos="0">
                  <a:schemeClr val="accent3">
                    <a:tint val="100000"/>
                    <a:shade val="100000"/>
                    <a:satMod val="130000"/>
                  </a:schemeClr>
                </a:gs>
                <a:gs pos="100000">
                  <a:schemeClr val="accent3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2"/>
                <c:pt idx="0">
                  <c:v>46</c:v>
                </c:pt>
                <c:pt idx="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C6-4C62-89D9-0D4B80C601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50-65 лет</c:v>
                </c:pt>
              </c:strCache>
            </c:strRef>
          </c:tx>
          <c:spPr>
            <a:gradFill>
              <a:gsLst>
                <a:gs pos="0">
                  <a:schemeClr val="accent4"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2"/>
                <c:pt idx="0">
                  <c:v>26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C6-4C62-89D9-0D4B80C601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старше 65 лет</c:v>
                </c:pt>
              </c:strCache>
            </c:strRef>
          </c:tx>
          <c:spPr>
            <a:gradFill>
              <a:gsLst>
                <a:gs pos="0">
                  <a:schemeClr val="accent5">
                    <a:tint val="100000"/>
                    <a:shade val="100000"/>
                    <a:satMod val="130000"/>
                  </a:schemeClr>
                </a:gs>
                <a:gs pos="100000">
                  <a:schemeClr val="accent5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C6-4C62-89D9-0D4B80C601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2"/>
        <c:axId val="1866169475"/>
        <c:axId val="1866169476"/>
      </c:barChart>
      <c:catAx>
        <c:axId val="18661694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2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476"/>
        <c:crosses val="autoZero"/>
        <c:auto val="1"/>
        <c:lblAlgn val="ctr"/>
        <c:lblOffset val="100"/>
        <c:noMultiLvlLbl val="0"/>
      </c:catAx>
      <c:valAx>
        <c:axId val="18661694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2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694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 sz="900">
          <a:solidFill>
            <a:schemeClr val="tx2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08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="0">
                <a:solidFill>
                  <a:schemeClr val="tx1"/>
                </a:solidFill>
              </a:rPr>
              <a:t>конкурсы педмастерства</a:t>
            </a:r>
          </a:p>
        </c:rich>
      </c:tx>
      <c:layout>
        <c:manualLayout>
          <c:xMode val="edge"/>
          <c:yMode val="edge"/>
          <c:x val="0.36573599697417736"/>
          <c:y val="2.2263081130355515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1.7260000000000001E-2"/>
          <c:y val="0.17806"/>
          <c:w val="0.92674000000000001"/>
          <c:h val="0.64993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количество конкурсов</c:v>
                </c:pt>
                <c:pt idx="1">
                  <c:v>количество участий</c:v>
                </c:pt>
                <c:pt idx="2">
                  <c:v>количество призовых мест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44</c:v>
                </c:pt>
                <c:pt idx="1">
                  <c:v>178</c:v>
                </c:pt>
                <c:pt idx="2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F-4519-8222-0E7EB7E65C9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количество конкурсов</c:v>
                </c:pt>
                <c:pt idx="1">
                  <c:v>количество участий</c:v>
                </c:pt>
                <c:pt idx="2">
                  <c:v>количество призовых мест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66</c:v>
                </c:pt>
                <c:pt idx="1">
                  <c:v>193</c:v>
                </c:pt>
                <c:pt idx="2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3F-4519-8222-0E7EB7E65C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66170153"/>
        <c:axId val="1866170154"/>
      </c:barChart>
      <c:catAx>
        <c:axId val="186617015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800" b="0" i="0" u="none" strike="noStrike" kern="1200" cap="all" spc="113" baseline="0">
                <a:solidFill>
                  <a:schemeClr val="tx1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70154"/>
        <c:crosses val="autoZero"/>
        <c:auto val="1"/>
        <c:lblAlgn val="ctr"/>
        <c:lblOffset val="100"/>
        <c:noMultiLvlLbl val="0"/>
      </c:catAx>
      <c:valAx>
        <c:axId val="186617015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70153"/>
        <c:crosses val="autoZero"/>
        <c:crossBetween val="between"/>
      </c:valAx>
      <c:spPr>
        <a:noFill/>
        <a:ln>
          <a:noFill/>
          <a:bevel/>
        </a:ln>
        <a:effectLst/>
      </c:spPr>
    </c:plotArea>
    <c:legend>
      <c:legendPos val="b"/>
      <c:layout>
        <c:manualLayout>
          <c:xMode val="edge"/>
          <c:yMode val="edge"/>
          <c:x val="3.2010027130888116E-2"/>
          <c:y val="0.89589455374595961"/>
          <c:w val="0.14690008727075055"/>
          <c:h val="9.99356393121780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</c:spPr>
  <c:txPr>
    <a:bodyPr/>
    <a:lstStyle/>
    <a:p>
      <a:pPr>
        <a:defRPr lang="ru-RU" sz="900" b="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tx1"/>
                </a:solidFill>
              </a:rPr>
              <a:t>Результаты удовлетворенности родителей (законных представителей) в 2022 и в 2023 годах</a:t>
            </a:r>
          </a:p>
        </c:rich>
      </c:tx>
      <c:layout>
        <c:manualLayout>
          <c:xMode val="edge"/>
          <c:yMode val="edge"/>
          <c:x val="7.0589790151672549E-2"/>
          <c:y val="3.2282887514495553E-2"/>
        </c:manualLayout>
      </c:layout>
      <c:overlay val="0"/>
      <c:spPr>
        <a:noFill/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29-4F87-B52D-4087A2FF28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29-4F87-B52D-4087A2FF28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Оснащенность ДОУ</c:v>
                </c:pt>
                <c:pt idx="1">
                  <c:v>Квалифицированность</c:v>
                </c:pt>
                <c:pt idx="2">
                  <c:v>Обучение и развитие ребенка</c:v>
                </c:pt>
                <c:pt idx="3">
                  <c:v>Взаимодействие с ДОУ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86.4</c:v>
                </c:pt>
                <c:pt idx="1">
                  <c:v>94</c:v>
                </c:pt>
                <c:pt idx="2">
                  <c:v>91.2</c:v>
                </c:pt>
                <c:pt idx="3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29-4F87-B52D-4087A2FF28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29-4F87-B52D-4087A2FF28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Оснащенность ДОУ</c:v>
                </c:pt>
                <c:pt idx="1">
                  <c:v>Квалифицированность</c:v>
                </c:pt>
                <c:pt idx="2">
                  <c:v>Обучение и развитие ребенка</c:v>
                </c:pt>
                <c:pt idx="3">
                  <c:v>Взаимодействие с ДОУ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88.1</c:v>
                </c:pt>
                <c:pt idx="1">
                  <c:v>94.1</c:v>
                </c:pt>
                <c:pt idx="2">
                  <c:v>94.5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29-4F87-B52D-4087A2FF28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66170147"/>
        <c:axId val="1866170148"/>
      </c:barChart>
      <c:catAx>
        <c:axId val="18661701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/>
                </a:solidFill>
                <a:latin typeface="Cambria" panose="02040503050406030204"/>
                <a:ea typeface="Arial" panose="020B0604020202020204"/>
                <a:cs typeface="Arial" panose="020B0604020202020204"/>
              </a:defRPr>
            </a:pPr>
            <a:endParaRPr lang="ru-RU"/>
          </a:p>
        </c:txPr>
        <c:crossAx val="1866170148"/>
        <c:crosses val="autoZero"/>
        <c:auto val="1"/>
        <c:lblAlgn val="ctr"/>
        <c:lblOffset val="100"/>
        <c:noMultiLvlLbl val="0"/>
      </c:catAx>
      <c:valAx>
        <c:axId val="18661701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</c:spPr>
        </c:majorGridlines>
        <c:numFmt formatCode="General" sourceLinked="1"/>
        <c:majorTickMark val="none"/>
        <c:minorTickMark val="none"/>
        <c:tickLblPos val="nextTo"/>
        <c:crossAx val="1866170147"/>
        <c:crosses val="autoZero"/>
        <c:crossBetween val="between"/>
      </c:valAx>
      <c:spPr>
        <a:noFill/>
        <a:ln>
          <a:noFill/>
          <a:round/>
        </a:ln>
        <a:effectLst/>
      </c:spPr>
    </c:plotArea>
    <c:legend>
      <c:legendPos val="b"/>
      <c:layout>
        <c:manualLayout>
          <c:xMode val="edge"/>
          <c:yMode val="edge"/>
          <c:x val="0.81540999999999997"/>
          <c:y val="0.56977999999999995"/>
          <c:w val="0.17660000000000001"/>
          <c:h val="6.7369999999999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</c:spPr>
  <c:txPr>
    <a:bodyPr/>
    <a:lstStyle/>
    <a:p>
      <a:pPr>
        <a:defRPr lang="ru-RU"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Paper">
      <a:dk1>
        <a:srgbClr val="000000"/>
      </a:dk1>
      <a:lt1>
        <a:srgbClr val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5787</Words>
  <Characters>32986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27</cp:revision>
  <dcterms:created xsi:type="dcterms:W3CDTF">2024-04-10T09:19:00Z</dcterms:created>
  <dcterms:modified xsi:type="dcterms:W3CDTF">2024-04-16T10:54:00Z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9D954A1700334617BE03BDD6AD7C5E75_12</vt:lpwstr>
  </property>
</Properties>
</file>